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D69" w:rsidRPr="00095D53" w:rsidRDefault="00095D53" w:rsidP="00095D53">
      <w:pPr>
        <w:pStyle w:val="Hesber1st"/>
        <w:tabs>
          <w:tab w:val="clear" w:pos="680"/>
        </w:tabs>
        <w:ind w:left="-199"/>
        <w:jc w:val="center"/>
        <w:rPr>
          <w:b/>
          <w:bCs/>
          <w:sz w:val="22"/>
          <w:szCs w:val="28"/>
          <w:u w:val="single"/>
          <w:rtl/>
        </w:rPr>
      </w:pPr>
      <w:bookmarkStart w:id="0" w:name="_GoBack"/>
      <w:bookmarkEnd w:id="0"/>
      <w:r w:rsidRPr="00095D53">
        <w:rPr>
          <w:rFonts w:hint="cs"/>
          <w:b/>
          <w:bCs/>
          <w:sz w:val="22"/>
          <w:szCs w:val="28"/>
          <w:u w:val="single"/>
          <w:rtl/>
        </w:rPr>
        <w:t>תזכיר חוק</w:t>
      </w:r>
    </w:p>
    <w:p w:rsidR="002C2D69" w:rsidRDefault="002C2D69" w:rsidP="002C2D69">
      <w:pPr>
        <w:pStyle w:val="Hesber1st"/>
        <w:tabs>
          <w:tab w:val="clear" w:pos="680"/>
        </w:tabs>
        <w:rPr>
          <w:rtl/>
        </w:rPr>
      </w:pPr>
    </w:p>
    <w:p w:rsidR="002C2D69" w:rsidRPr="001D49F6" w:rsidRDefault="002C2D69" w:rsidP="001D49F6">
      <w:pPr>
        <w:pStyle w:val="Hesber1st"/>
        <w:numPr>
          <w:ilvl w:val="0"/>
          <w:numId w:val="24"/>
        </w:numPr>
        <w:tabs>
          <w:tab w:val="clear" w:pos="680"/>
        </w:tabs>
        <w:rPr>
          <w:b/>
          <w:bCs/>
          <w:u w:val="single"/>
        </w:rPr>
      </w:pPr>
      <w:r w:rsidRPr="001D49F6">
        <w:rPr>
          <w:rFonts w:hint="cs"/>
          <w:b/>
          <w:bCs/>
          <w:u w:val="single"/>
          <w:rtl/>
        </w:rPr>
        <w:t>שם החוק המוצע</w:t>
      </w:r>
    </w:p>
    <w:p w:rsidR="002C2D69" w:rsidRDefault="002C2D69" w:rsidP="001D49F6">
      <w:pPr>
        <w:pStyle w:val="Hesber1st"/>
        <w:tabs>
          <w:tab w:val="clear" w:pos="680"/>
        </w:tabs>
        <w:ind w:left="720"/>
        <w:rPr>
          <w:rtl/>
        </w:rPr>
      </w:pPr>
      <w:r>
        <w:rPr>
          <w:rFonts w:hint="cs"/>
          <w:rtl/>
        </w:rPr>
        <w:t>חוק מס ערך מוסף (תיקון מס' 45)</w:t>
      </w:r>
      <w:r w:rsidR="009123E4">
        <w:rPr>
          <w:rFonts w:hint="cs"/>
          <w:rtl/>
        </w:rPr>
        <w:t>, התשע"ד-2014</w:t>
      </w:r>
    </w:p>
    <w:p w:rsidR="002C2D69" w:rsidRDefault="002C2D69" w:rsidP="001D49F6">
      <w:pPr>
        <w:pStyle w:val="Hesber1st"/>
        <w:tabs>
          <w:tab w:val="clear" w:pos="680"/>
        </w:tabs>
        <w:ind w:left="368"/>
        <w:rPr>
          <w:rtl/>
        </w:rPr>
      </w:pPr>
    </w:p>
    <w:p w:rsidR="002C2D69" w:rsidRPr="001D49F6" w:rsidRDefault="002C2D69" w:rsidP="001D49F6">
      <w:pPr>
        <w:pStyle w:val="Hesber1st"/>
        <w:numPr>
          <w:ilvl w:val="0"/>
          <w:numId w:val="24"/>
        </w:numPr>
        <w:tabs>
          <w:tab w:val="clear" w:pos="680"/>
        </w:tabs>
        <w:rPr>
          <w:b/>
          <w:bCs/>
          <w:u w:val="single"/>
        </w:rPr>
      </w:pPr>
      <w:r w:rsidRPr="001D49F6">
        <w:rPr>
          <w:rFonts w:hint="cs"/>
          <w:b/>
          <w:bCs/>
          <w:u w:val="single"/>
          <w:rtl/>
        </w:rPr>
        <w:t>עיקרי החוק המוצע והצורך בו</w:t>
      </w:r>
      <w:r w:rsidR="009123E4" w:rsidRPr="001D49F6">
        <w:rPr>
          <w:rFonts w:hint="cs"/>
          <w:b/>
          <w:bCs/>
          <w:u w:val="single"/>
          <w:rtl/>
        </w:rPr>
        <w:t xml:space="preserve"> </w:t>
      </w:r>
    </w:p>
    <w:p w:rsidR="002C2D69" w:rsidRDefault="002C2D69" w:rsidP="002C2D69">
      <w:pPr>
        <w:pStyle w:val="Hesber1st"/>
        <w:tabs>
          <w:tab w:val="clear" w:pos="680"/>
        </w:tabs>
        <w:rPr>
          <w:rtl/>
        </w:rPr>
      </w:pPr>
    </w:p>
    <w:p w:rsidR="002C2D69" w:rsidRPr="00113336" w:rsidRDefault="002C2D69" w:rsidP="002C2D69">
      <w:pPr>
        <w:pStyle w:val="Hesber1st"/>
        <w:tabs>
          <w:tab w:val="clear" w:pos="680"/>
        </w:tabs>
        <w:rPr>
          <w:b/>
          <w:bCs/>
          <w:rtl/>
        </w:rPr>
      </w:pPr>
      <w:r w:rsidRPr="00113336">
        <w:rPr>
          <w:rFonts w:hint="cs"/>
          <w:b/>
          <w:bCs/>
          <w:rtl/>
        </w:rPr>
        <w:t>סעיפים 1-2</w:t>
      </w:r>
    </w:p>
    <w:p w:rsidR="002C2D69" w:rsidRDefault="002C2D69" w:rsidP="002C2D69">
      <w:pPr>
        <w:pStyle w:val="Hesber1st"/>
        <w:tabs>
          <w:tab w:val="clear" w:pos="680"/>
        </w:tabs>
        <w:rPr>
          <w:rtl/>
        </w:rPr>
      </w:pPr>
    </w:p>
    <w:p w:rsidR="002C2D69" w:rsidRDefault="002C2D69" w:rsidP="002C2D69">
      <w:pPr>
        <w:pStyle w:val="Hesber1st"/>
        <w:tabs>
          <w:tab w:val="clear" w:pos="680"/>
        </w:tabs>
        <w:rPr>
          <w:rtl/>
        </w:rPr>
      </w:pPr>
      <w:r>
        <w:rPr>
          <w:rFonts w:hint="cs"/>
          <w:rtl/>
        </w:rPr>
        <w:t xml:space="preserve">בסעיף 22 לחוק מס ערך מוסף, התשלו- 1975 ( להלן </w:t>
      </w:r>
      <w:r>
        <w:rPr>
          <w:rtl/>
        </w:rPr>
        <w:t>–</w:t>
      </w:r>
      <w:r>
        <w:rPr>
          <w:rFonts w:hint="cs"/>
          <w:rtl/>
        </w:rPr>
        <w:t xml:space="preserve"> חוק מס ערך מוסף או החוק) נקבע הכלל לפיו החיוב במס במכר טובין יחול עם מסירתם לקונה. חריג לכלל זה נקבע בסעיף 29(1ב) לפיו בעסקה של מכר </w:t>
      </w:r>
      <w:r w:rsidRPr="00E3014C">
        <w:rPr>
          <w:rFonts w:hint="cs"/>
          <w:rtl/>
        </w:rPr>
        <w:t>נכס</w:t>
      </w:r>
      <w:r>
        <w:rPr>
          <w:rFonts w:hint="cs"/>
          <w:rtl/>
        </w:rPr>
        <w:t xml:space="preserve"> על ידי עוסק שמתקיים בו האמור בסעיף 2(ד) לתוספת א' להוראות מס הכנסה (ניהול פנקסי חשבונות), התשל"ג-1973 (להלן "הוראות ניהול פנקסי חשבונות") יחול החיוב במס עם קבלת התמורה ועל הסכום שהתקבל. מדובר ביצרנים שמחזור עסקאותיהם עולה על 1,950,000 שקלים חדשים ובעסקם לא יותר מ-6 מועסקים. סעיף זה נקבע במסגרת הוראות שעה הצפויה לפקוע בסוף שנה זו. </w:t>
      </w:r>
    </w:p>
    <w:p w:rsidR="002C2D69" w:rsidRDefault="002C2D69" w:rsidP="002C2D69">
      <w:pPr>
        <w:pStyle w:val="Hesber1st"/>
        <w:tabs>
          <w:tab w:val="clear" w:pos="680"/>
        </w:tabs>
        <w:rPr>
          <w:rtl/>
        </w:rPr>
      </w:pPr>
      <w:r>
        <w:rPr>
          <w:rFonts w:hint="cs"/>
          <w:rtl/>
        </w:rPr>
        <w:t xml:space="preserve">על מנת להגדיל את מספר העוסקים אשר מועד החיוב במס במכר טובין יחול לגביהם עם קבלת התמורה, מוצע לתקן את סעיף 22 ולקבוע כי על אף האמור בו </w:t>
      </w:r>
      <w:r w:rsidRPr="007F71E7">
        <w:rPr>
          <w:rtl/>
        </w:rPr>
        <w:t>בעסקה של מכר נכס על ידי עוסק שמחזור עסקאותיו אינו עולה על 2 מיליון שקלים חדשים, יחול החיוב במס עם קבלת התמורה ועל הסכום שהתקבל</w:t>
      </w:r>
      <w:r>
        <w:rPr>
          <w:rFonts w:hint="cs"/>
          <w:rtl/>
        </w:rPr>
        <w:t>.  התיקון יביא לכך כי החיוב במס עם קבלת התמורה יחול על כלל העוסקים שמחזור עסקאותיהם אינו עולה על 2 מיליון שקלים חדשים.</w:t>
      </w:r>
    </w:p>
    <w:p w:rsidR="002C2D69" w:rsidRDefault="002C2D69" w:rsidP="002C2D69">
      <w:pPr>
        <w:pStyle w:val="Hesber1st"/>
        <w:tabs>
          <w:tab w:val="clear" w:pos="680"/>
        </w:tabs>
        <w:rPr>
          <w:rtl/>
        </w:rPr>
      </w:pPr>
      <w:r>
        <w:rPr>
          <w:rFonts w:hint="cs"/>
          <w:rtl/>
        </w:rPr>
        <w:t>כמו כן מוצע לתקן את סעיף 29(1)ב) ולקבוע כי חיוב במס כאמור יחול על עוסק אשר מתקיים בו האמור בסעיף 2(ג) לתוספת א' להוראות ניהול פנקסי חשבונות. לעניין זה מדובר ביצרנים אשר מחזור עסקאותיהם אינו עולה על 3,450,000 שקלים חדשים.</w:t>
      </w:r>
    </w:p>
    <w:p w:rsidR="002C2D69" w:rsidRDefault="002C2D69" w:rsidP="002C2D69">
      <w:pPr>
        <w:pStyle w:val="Hesber1st"/>
        <w:tabs>
          <w:tab w:val="clear" w:pos="680"/>
        </w:tabs>
        <w:rPr>
          <w:rtl/>
        </w:rPr>
      </w:pPr>
    </w:p>
    <w:p w:rsidR="002C2D69" w:rsidRPr="00113336" w:rsidRDefault="002C2D69" w:rsidP="002C2D69">
      <w:pPr>
        <w:pStyle w:val="Hesber1st"/>
        <w:tabs>
          <w:tab w:val="clear" w:pos="680"/>
        </w:tabs>
        <w:rPr>
          <w:b/>
          <w:bCs/>
          <w:rtl/>
        </w:rPr>
      </w:pPr>
      <w:r w:rsidRPr="00113336">
        <w:rPr>
          <w:rFonts w:hint="cs"/>
          <w:b/>
          <w:bCs/>
          <w:rtl/>
        </w:rPr>
        <w:t>סעיף 3</w:t>
      </w:r>
    </w:p>
    <w:p w:rsidR="002C2D69" w:rsidRDefault="002C2D69" w:rsidP="002C2D69">
      <w:pPr>
        <w:pStyle w:val="Hesber1st"/>
        <w:tabs>
          <w:tab w:val="clear" w:pos="680"/>
        </w:tabs>
        <w:rPr>
          <w:rtl/>
        </w:rPr>
      </w:pPr>
    </w:p>
    <w:p w:rsidR="002C2D69" w:rsidRDefault="002C2D69" w:rsidP="002C2D69">
      <w:pPr>
        <w:pStyle w:val="Hesber1st"/>
        <w:tabs>
          <w:tab w:val="clear" w:pos="680"/>
        </w:tabs>
        <w:rPr>
          <w:rtl/>
        </w:rPr>
      </w:pPr>
      <w:r w:rsidRPr="00C432E6">
        <w:rPr>
          <w:rtl/>
        </w:rPr>
        <w:t>לאור חשיבותם של מחקרים קליניים הנערכים בישראל על ידי חברות תרופות רב לאומיות מבוססות מחקר ופי</w:t>
      </w:r>
      <w:r>
        <w:rPr>
          <w:rtl/>
        </w:rPr>
        <w:t>תוח</w:t>
      </w:r>
      <w:r>
        <w:rPr>
          <w:rFonts w:hint="cs"/>
          <w:rtl/>
        </w:rPr>
        <w:t xml:space="preserve"> ותרומתם </w:t>
      </w:r>
      <w:r>
        <w:rPr>
          <w:rtl/>
        </w:rPr>
        <w:t>לבריאות אזרחי המדינה</w:t>
      </w:r>
      <w:r>
        <w:rPr>
          <w:rFonts w:hint="cs"/>
          <w:rtl/>
        </w:rPr>
        <w:t>,</w:t>
      </w:r>
      <w:r>
        <w:rPr>
          <w:rtl/>
        </w:rPr>
        <w:t xml:space="preserve"> </w:t>
      </w:r>
      <w:r>
        <w:rPr>
          <w:rFonts w:hint="cs"/>
          <w:rtl/>
        </w:rPr>
        <w:t>ובהתחשב</w:t>
      </w:r>
      <w:r>
        <w:rPr>
          <w:rtl/>
        </w:rPr>
        <w:t xml:space="preserve"> </w:t>
      </w:r>
      <w:r>
        <w:rPr>
          <w:rFonts w:hint="cs"/>
          <w:rtl/>
        </w:rPr>
        <w:t>ב</w:t>
      </w:r>
      <w:r w:rsidRPr="00C432E6">
        <w:rPr>
          <w:rtl/>
        </w:rPr>
        <w:t>תחרות הקיימת בתחום זה עם מדינות אחרות בעולם, הפוטרות למעשה ניסויים אלו ממע"מ</w:t>
      </w:r>
      <w:r>
        <w:rPr>
          <w:rFonts w:hint="cs"/>
          <w:rtl/>
        </w:rPr>
        <w:t xml:space="preserve"> מוצע להסמיך את שר האוצר לקבוע מס בשיעור אפס על שירותים הניתנים לתושב חוץ לצורך ביצוע ניסויים רפואיים בישראל.</w:t>
      </w:r>
    </w:p>
    <w:p w:rsidR="002C2D69" w:rsidRDefault="002C2D69" w:rsidP="002C2D69">
      <w:pPr>
        <w:pStyle w:val="Hesber1st"/>
        <w:tabs>
          <w:tab w:val="clear" w:pos="680"/>
        </w:tabs>
        <w:rPr>
          <w:rtl/>
        </w:rPr>
      </w:pPr>
    </w:p>
    <w:p w:rsidR="002C2D69" w:rsidRPr="00113336" w:rsidRDefault="002C2D69" w:rsidP="002C2D69">
      <w:pPr>
        <w:pStyle w:val="Hesber1st"/>
        <w:tabs>
          <w:tab w:val="clear" w:pos="680"/>
        </w:tabs>
        <w:rPr>
          <w:b/>
          <w:bCs/>
          <w:rtl/>
        </w:rPr>
      </w:pPr>
      <w:r w:rsidRPr="00113336">
        <w:rPr>
          <w:rFonts w:hint="cs"/>
          <w:b/>
          <w:bCs/>
          <w:rtl/>
        </w:rPr>
        <w:t>סעיף 4-5</w:t>
      </w:r>
    </w:p>
    <w:p w:rsidR="002C2D69" w:rsidRDefault="002C2D69" w:rsidP="002C2D69">
      <w:pPr>
        <w:pStyle w:val="Hesber1st"/>
        <w:tabs>
          <w:tab w:val="clear" w:pos="680"/>
        </w:tabs>
        <w:rPr>
          <w:rtl/>
        </w:rPr>
      </w:pPr>
    </w:p>
    <w:p w:rsidR="002C2D69" w:rsidRDefault="002C2D69" w:rsidP="002C2D69">
      <w:pPr>
        <w:pStyle w:val="Hesber1st"/>
        <w:tabs>
          <w:tab w:val="clear" w:pos="680"/>
        </w:tabs>
        <w:rPr>
          <w:rtl/>
        </w:rPr>
      </w:pPr>
      <w:r>
        <w:rPr>
          <w:rFonts w:hint="cs"/>
          <w:rtl/>
        </w:rPr>
        <w:t>בסעיפים 31א ו-31ב לחוק נקבע פטור ממס על מתן שירותי בניה במסגרת תכנית תמ"א 38 ובמתחמי פינוי בינוי. על מנת להפחית את נטל המס המוטל על שירותים בתחום זה מוצע להחליף את הפטור הניתן לגביהם בקביעת מס בשיעור אפס, כך שנותני שירותים אלו יהיו רשאים לנכות את מס התשומות הכלול בחשבוניות מס שהוצאו להם.</w:t>
      </w:r>
      <w:r w:rsidR="00DC67B0">
        <w:rPr>
          <w:rFonts w:hint="cs"/>
          <w:rtl/>
        </w:rPr>
        <w:t xml:space="preserve"> כמו כן, מוצע לקבוע מס בשיעור אפס גם על מתן שירותי בניה במסגרת תכנית תמ"א 38/2</w:t>
      </w:r>
      <w:r w:rsidR="00EE26C2">
        <w:rPr>
          <w:rFonts w:hint="cs"/>
          <w:rtl/>
        </w:rPr>
        <w:t>.</w:t>
      </w:r>
    </w:p>
    <w:p w:rsidR="002C2D69" w:rsidRDefault="002C2D69" w:rsidP="002C2D69">
      <w:pPr>
        <w:pStyle w:val="Hesber1st"/>
        <w:tabs>
          <w:tab w:val="clear" w:pos="680"/>
        </w:tabs>
        <w:rPr>
          <w:rtl/>
        </w:rPr>
      </w:pPr>
    </w:p>
    <w:p w:rsidR="002C2D69" w:rsidRPr="00113336" w:rsidRDefault="002C2D69" w:rsidP="002C2D69">
      <w:pPr>
        <w:pStyle w:val="Hesber1st"/>
        <w:tabs>
          <w:tab w:val="clear" w:pos="680"/>
        </w:tabs>
        <w:rPr>
          <w:b/>
          <w:bCs/>
          <w:rtl/>
        </w:rPr>
      </w:pPr>
      <w:r w:rsidRPr="00113336">
        <w:rPr>
          <w:rFonts w:hint="cs"/>
          <w:b/>
          <w:bCs/>
          <w:rtl/>
        </w:rPr>
        <w:t>סעיף 6</w:t>
      </w:r>
    </w:p>
    <w:p w:rsidR="002C2D69" w:rsidRDefault="002C2D69" w:rsidP="002C2D69">
      <w:pPr>
        <w:pStyle w:val="Hesber1st"/>
        <w:tabs>
          <w:tab w:val="clear" w:pos="680"/>
        </w:tabs>
        <w:rPr>
          <w:rtl/>
        </w:rPr>
      </w:pPr>
    </w:p>
    <w:p w:rsidR="002C2D69" w:rsidRDefault="002C2D69" w:rsidP="002C2D69">
      <w:pPr>
        <w:pStyle w:val="Hesber1st"/>
        <w:tabs>
          <w:tab w:val="clear" w:pos="680"/>
        </w:tabs>
        <w:rPr>
          <w:rtl/>
        </w:rPr>
      </w:pPr>
      <w:r>
        <w:rPr>
          <w:rFonts w:hint="cs"/>
          <w:rtl/>
        </w:rPr>
        <w:t>נושא החזר סכומים בגין תשלומי מס על עסקאות אשר נוצר לגביהן חוב אבוד נדון בפסיקת בית המשפט (בית המשפט העליון הכיר לראשונה בזכות להחזר במקרים אלו בע"א 2112/95 אגף המכס והמע"מ נ' אלקה החזקות). כיום מוסדר הנושא בתקנה 24א לתקנות מס ערך מוסף הקובעת את החובה להגיש הודעה למנהל במקרים בהם הוצאה הודעת זיכוי בשל חוב אבוד.</w:t>
      </w:r>
    </w:p>
    <w:p w:rsidR="002C2D69" w:rsidRDefault="002C2D69" w:rsidP="002C2D69">
      <w:pPr>
        <w:pStyle w:val="Hesber1st"/>
        <w:tabs>
          <w:tab w:val="clear" w:pos="680"/>
        </w:tabs>
        <w:rPr>
          <w:rtl/>
        </w:rPr>
      </w:pPr>
      <w:r>
        <w:rPr>
          <w:rFonts w:hint="cs"/>
          <w:rtl/>
        </w:rPr>
        <w:t>מוצע להסדיר את הזכות לקבלת החזר במקרים אלו בחקיקה ראשית ולקבוע כי הזכות תינתן בתוך תקופה של שישה חודשים עד שלוש שנים מיום הוצאת החשבונית על עסקה אשר לגביה נוצר החוב האבוד. כמו כן מוצע להסמיך באופן מפורש את שר האוצר לקבוע תקנות לעניין דרך הגשת הודעת העוסקים על הזכות להחזר ולעניין פרקי זמן אשר לא יבואו במניין תקופת הזכאות.</w:t>
      </w:r>
    </w:p>
    <w:p w:rsidR="002C2D69" w:rsidRDefault="002C2D69" w:rsidP="002C2D69">
      <w:pPr>
        <w:pStyle w:val="Hesber1st"/>
        <w:tabs>
          <w:tab w:val="clear" w:pos="680"/>
        </w:tabs>
        <w:rPr>
          <w:rtl/>
        </w:rPr>
      </w:pPr>
    </w:p>
    <w:p w:rsidR="002C2D69" w:rsidRPr="00113336" w:rsidRDefault="002C2D69" w:rsidP="002C2D69">
      <w:pPr>
        <w:pStyle w:val="Hesber1st"/>
        <w:tabs>
          <w:tab w:val="clear" w:pos="680"/>
        </w:tabs>
        <w:rPr>
          <w:b/>
          <w:bCs/>
          <w:rtl/>
        </w:rPr>
      </w:pPr>
      <w:r w:rsidRPr="00113336">
        <w:rPr>
          <w:rFonts w:hint="cs"/>
          <w:b/>
          <w:bCs/>
          <w:rtl/>
        </w:rPr>
        <w:t>סעיף 7</w:t>
      </w:r>
    </w:p>
    <w:p w:rsidR="002C2D69" w:rsidRDefault="002C2D69" w:rsidP="002C2D69">
      <w:pPr>
        <w:pStyle w:val="Hesber1st"/>
        <w:tabs>
          <w:tab w:val="clear" w:pos="680"/>
        </w:tabs>
        <w:rPr>
          <w:rtl/>
        </w:rPr>
      </w:pPr>
    </w:p>
    <w:p w:rsidR="002C2D69" w:rsidRDefault="002C2D69" w:rsidP="002C2D69">
      <w:pPr>
        <w:pStyle w:val="Hesber1st"/>
        <w:tabs>
          <w:tab w:val="clear" w:pos="680"/>
        </w:tabs>
        <w:rPr>
          <w:rtl/>
        </w:rPr>
      </w:pPr>
      <w:r w:rsidRPr="00286A55">
        <w:rPr>
          <w:rtl/>
        </w:rPr>
        <w:t>ככלל, המועד להגשת תביעה להחזר מס ערך מוסף אינו מוגבל כיום בזמן,  בכפוף להוראות המסדירות מגבלת זמן במקרים שונים. מצב זה מביא לפגיעה במידת הוודאות התקציבית ולהכבדה בנטל המנהלי על רשויות המס. נוכח האמור, ובהנחה שראוי לקבוע תקופת התיישנות להגשת בקשה להחזרי מס, מוצע לקבוע שהיא תהיה חמש שנים מיום תשלום היתר, בדומה לתקופה הקבועה בסעיף 77(ב) לחוק, בעניין הסמכות להוציא שומות.</w:t>
      </w:r>
    </w:p>
    <w:p w:rsidR="002C2D69" w:rsidRDefault="002C2D69" w:rsidP="002C2D69">
      <w:pPr>
        <w:pStyle w:val="Hesber1st"/>
        <w:tabs>
          <w:tab w:val="clear" w:pos="680"/>
        </w:tabs>
        <w:rPr>
          <w:rtl/>
        </w:rPr>
      </w:pPr>
    </w:p>
    <w:p w:rsidR="002C2D69" w:rsidRPr="00113336" w:rsidRDefault="002C2D69" w:rsidP="002C2D69">
      <w:pPr>
        <w:pStyle w:val="Hesber1st"/>
        <w:tabs>
          <w:tab w:val="clear" w:pos="680"/>
        </w:tabs>
        <w:rPr>
          <w:b/>
          <w:bCs/>
          <w:rtl/>
        </w:rPr>
      </w:pPr>
      <w:r w:rsidRPr="00113336">
        <w:rPr>
          <w:rFonts w:hint="cs"/>
          <w:b/>
          <w:bCs/>
          <w:rtl/>
        </w:rPr>
        <w:t>סעיף 8</w:t>
      </w:r>
    </w:p>
    <w:p w:rsidR="002C2D69" w:rsidRDefault="002C2D69" w:rsidP="002C2D69">
      <w:pPr>
        <w:pStyle w:val="Hesber1st"/>
        <w:tabs>
          <w:tab w:val="clear" w:pos="680"/>
        </w:tabs>
        <w:rPr>
          <w:rtl/>
        </w:rPr>
      </w:pPr>
    </w:p>
    <w:p w:rsidR="002C2D69" w:rsidRDefault="002C2D69" w:rsidP="002C2D69">
      <w:pPr>
        <w:pStyle w:val="Hesber1st"/>
        <w:tabs>
          <w:tab w:val="clear" w:pos="680"/>
        </w:tabs>
        <w:rPr>
          <w:rtl/>
        </w:rPr>
      </w:pPr>
      <w:r>
        <w:rPr>
          <w:rFonts w:hint="cs"/>
          <w:rtl/>
        </w:rPr>
        <w:t xml:space="preserve">מוצע לבטל את סעיף 96 אשר אינו מופעל מאז נכנס לתוקף </w:t>
      </w:r>
      <w:r w:rsidRPr="0069745A">
        <w:rPr>
          <w:rtl/>
        </w:rPr>
        <w:t>חוק המיסים (קנס פיגורים), התשמ"א-1981</w:t>
      </w:r>
      <w:r>
        <w:rPr>
          <w:rFonts w:hint="cs"/>
          <w:rtl/>
        </w:rPr>
        <w:t>.</w:t>
      </w:r>
    </w:p>
    <w:p w:rsidR="001D49F6" w:rsidRDefault="001D49F6" w:rsidP="002C2D69">
      <w:pPr>
        <w:pStyle w:val="Hesber1st"/>
        <w:tabs>
          <w:tab w:val="clear" w:pos="680"/>
        </w:tabs>
        <w:rPr>
          <w:rtl/>
        </w:rPr>
      </w:pPr>
    </w:p>
    <w:p w:rsidR="002C2D69" w:rsidRPr="00113336" w:rsidRDefault="002C2D69" w:rsidP="002C2D69">
      <w:pPr>
        <w:pStyle w:val="Hesber1st"/>
        <w:tabs>
          <w:tab w:val="clear" w:pos="680"/>
        </w:tabs>
        <w:rPr>
          <w:b/>
          <w:bCs/>
          <w:rtl/>
        </w:rPr>
      </w:pPr>
      <w:r w:rsidRPr="00113336">
        <w:rPr>
          <w:rFonts w:hint="cs"/>
          <w:b/>
          <w:bCs/>
          <w:rtl/>
        </w:rPr>
        <w:t>סעיף 9</w:t>
      </w:r>
    </w:p>
    <w:p w:rsidR="00113336" w:rsidRDefault="00113336" w:rsidP="002C2D69">
      <w:pPr>
        <w:pStyle w:val="Hesber1st"/>
        <w:tabs>
          <w:tab w:val="clear" w:pos="680"/>
        </w:tabs>
        <w:rPr>
          <w:rtl/>
        </w:rPr>
      </w:pPr>
    </w:p>
    <w:p w:rsidR="002C2D69" w:rsidRDefault="002C2D69" w:rsidP="002C2D69">
      <w:pPr>
        <w:pStyle w:val="Hesber1st"/>
        <w:tabs>
          <w:tab w:val="clear" w:pos="680"/>
        </w:tabs>
        <w:rPr>
          <w:rtl/>
        </w:rPr>
      </w:pPr>
      <w:r>
        <w:rPr>
          <w:rFonts w:hint="cs"/>
          <w:rtl/>
        </w:rPr>
        <w:t xml:space="preserve">סעיפים 93 ו-97 לחוק המסדירים כיום את נושא גביית הפרשי הצמדה וריבית על תקופות </w:t>
      </w:r>
      <w:r>
        <w:rPr>
          <w:rFonts w:hint="cs"/>
          <w:rtl/>
        </w:rPr>
        <w:lastRenderedPageBreak/>
        <w:t xml:space="preserve">פיגורים בתשלום, מנוסחים כיום באופן אשר מקשה על גביית הפרשי הצמדה לגבי  פיגורים בתשלומים שמועדם הוא יום פרסום מדד המחירים לצרכן.. מוצע לקבוע מנגנון התאמה לעניין זה, בדומה למנגנון הקיים בסעיף 187(ג) לפקודת מס הכנסה. כמו כן מוצע לקבוע כי לעניין גביית הפרשי ריבית והצמדה על חובות מס תתחיל תקופת הפיגור במועד </w:t>
      </w:r>
      <w:r w:rsidRPr="0069745A">
        <w:rPr>
          <w:rtl/>
        </w:rPr>
        <w:t>תשלום המס המגיע לתקופת דו"ח כאמור בסעיף 88</w:t>
      </w:r>
      <w:r>
        <w:rPr>
          <w:rFonts w:hint="cs"/>
          <w:rtl/>
        </w:rPr>
        <w:t>.</w:t>
      </w:r>
    </w:p>
    <w:p w:rsidR="002C2D69" w:rsidRDefault="002C2D69" w:rsidP="002C2D69">
      <w:pPr>
        <w:pStyle w:val="Hesber1st"/>
        <w:tabs>
          <w:tab w:val="clear" w:pos="680"/>
        </w:tabs>
        <w:rPr>
          <w:rtl/>
        </w:rPr>
      </w:pPr>
    </w:p>
    <w:p w:rsidR="002C2D69" w:rsidRPr="00113336" w:rsidRDefault="002C2D69" w:rsidP="002C2D69">
      <w:pPr>
        <w:pStyle w:val="Hesber1st"/>
        <w:tabs>
          <w:tab w:val="clear" w:pos="680"/>
        </w:tabs>
        <w:rPr>
          <w:b/>
          <w:bCs/>
          <w:rtl/>
        </w:rPr>
      </w:pPr>
      <w:r w:rsidRPr="00113336">
        <w:rPr>
          <w:rFonts w:hint="cs"/>
          <w:b/>
          <w:bCs/>
          <w:rtl/>
        </w:rPr>
        <w:t>סעיף 10</w:t>
      </w:r>
    </w:p>
    <w:p w:rsidR="002C2D69" w:rsidRDefault="002C2D69" w:rsidP="002C2D69">
      <w:pPr>
        <w:pStyle w:val="Hesber1st"/>
        <w:tabs>
          <w:tab w:val="clear" w:pos="680"/>
        </w:tabs>
        <w:rPr>
          <w:rtl/>
        </w:rPr>
      </w:pPr>
    </w:p>
    <w:p w:rsidR="002C2D69" w:rsidRDefault="002C2D69" w:rsidP="002C2D69">
      <w:pPr>
        <w:pStyle w:val="Hesber1st"/>
        <w:tabs>
          <w:tab w:val="clear" w:pos="680"/>
        </w:tabs>
        <w:rPr>
          <w:rtl/>
        </w:rPr>
      </w:pPr>
      <w:r>
        <w:rPr>
          <w:rFonts w:hint="cs"/>
          <w:rtl/>
        </w:rPr>
        <w:t xml:space="preserve">סעיף 103 לחוק מסדיר את אופן זקיפתם של סכומים המשולמים על ידי חייבים במס. על פי הכללים הקיימים כיום, מקבלים חובות מס עדיפות לעניין זה על פני חובות ריבית והצמדה. מוצע לקבוע מנגנון זקיפת תשלומים לפיו חיובי מס, ריבית והצמדה יפרעו בהתאם לחלקם היחסי של אלו בחוב כולו, זאת בדומה להוראות הקיימות בפקודת במס הכנסה. </w:t>
      </w:r>
    </w:p>
    <w:p w:rsidR="002C2D69" w:rsidRDefault="002C2D69" w:rsidP="002C2D69">
      <w:pPr>
        <w:pStyle w:val="Hesber1st"/>
        <w:tabs>
          <w:tab w:val="clear" w:pos="680"/>
        </w:tabs>
        <w:rPr>
          <w:rtl/>
        </w:rPr>
      </w:pPr>
    </w:p>
    <w:p w:rsidR="002C2D69" w:rsidRPr="00113336" w:rsidRDefault="002C2D69" w:rsidP="002C2D69">
      <w:pPr>
        <w:pStyle w:val="Hesber1st"/>
        <w:tabs>
          <w:tab w:val="clear" w:pos="680"/>
        </w:tabs>
        <w:rPr>
          <w:b/>
          <w:bCs/>
          <w:rtl/>
        </w:rPr>
      </w:pPr>
      <w:r w:rsidRPr="00113336">
        <w:rPr>
          <w:rFonts w:hint="cs"/>
          <w:b/>
          <w:bCs/>
          <w:rtl/>
        </w:rPr>
        <w:t>סעיף 11</w:t>
      </w:r>
    </w:p>
    <w:p w:rsidR="002C2D69" w:rsidRDefault="002C2D69" w:rsidP="002C2D69">
      <w:pPr>
        <w:pStyle w:val="Hesber1st"/>
        <w:tabs>
          <w:tab w:val="clear" w:pos="680"/>
        </w:tabs>
        <w:rPr>
          <w:rtl/>
        </w:rPr>
      </w:pPr>
    </w:p>
    <w:p w:rsidR="002C2D69" w:rsidRDefault="002C2D69" w:rsidP="002C2D69">
      <w:pPr>
        <w:pStyle w:val="Hesber1st"/>
        <w:tabs>
          <w:tab w:val="clear" w:pos="680"/>
        </w:tabs>
        <w:rPr>
          <w:rtl/>
        </w:rPr>
      </w:pPr>
      <w:r w:rsidRPr="009F60F6">
        <w:rPr>
          <w:rtl/>
        </w:rPr>
        <w:t xml:space="preserve">מוצע לקבוע בסעיף 105 כי במקרה </w:t>
      </w:r>
      <w:r>
        <w:rPr>
          <w:rFonts w:hint="cs"/>
          <w:rtl/>
        </w:rPr>
        <w:t>ש</w:t>
      </w:r>
      <w:r w:rsidRPr="009F60F6">
        <w:rPr>
          <w:rtl/>
        </w:rPr>
        <w:t xml:space="preserve">בו יש להחזיר לעוסק מס ששילם ביתר, לרבות שיעור מס ביתר על פי דו"ח ארעי, וכן כל סכום ששילם ביתר ואשר אינו בגדר מס תשומות, והסכום כאמור לא הוחזר תוך 30 ימים מיום תשלומו, תחול חובת תשלום הפרשי הצמדה וריבית החל </w:t>
      </w:r>
      <w:r>
        <w:rPr>
          <w:rtl/>
        </w:rPr>
        <w:t xml:space="preserve">מיום התשלום ועד ליום ההחזר. </w:t>
      </w:r>
      <w:r>
        <w:rPr>
          <w:rFonts w:hint="cs"/>
          <w:rtl/>
        </w:rPr>
        <w:t xml:space="preserve">כמו כן </w:t>
      </w:r>
      <w:r w:rsidRPr="009F60F6">
        <w:rPr>
          <w:rtl/>
        </w:rPr>
        <w:t xml:space="preserve">מוצע לבטל את התקופה שנקבעה בסעיף 105(ג)(2) </w:t>
      </w:r>
      <w:r>
        <w:rPr>
          <w:rFonts w:hint="cs"/>
          <w:rtl/>
        </w:rPr>
        <w:t xml:space="preserve">לחוק </w:t>
      </w:r>
      <w:r w:rsidRPr="009F60F6">
        <w:rPr>
          <w:rtl/>
        </w:rPr>
        <w:t>לנוכח סעיף 87א המוצע בחוק זה</w:t>
      </w:r>
      <w:r>
        <w:rPr>
          <w:rFonts w:hint="cs"/>
          <w:rtl/>
        </w:rPr>
        <w:t xml:space="preserve"> וכן לקבוע כי</w:t>
      </w:r>
      <w:r w:rsidRPr="0084066D">
        <w:rPr>
          <w:rFonts w:hint="cs"/>
          <w:rtl/>
        </w:rPr>
        <w:t xml:space="preserve"> </w:t>
      </w:r>
      <w:r>
        <w:rPr>
          <w:rFonts w:hint="cs"/>
          <w:rtl/>
        </w:rPr>
        <w:t>הזכאי להחזר בגין חוב אבוד כאמור בסעיף 43ג לחוק  ישולמו לו הפרשי הצמדה וריבית מהיום שבו היה זכאי להחזר כאמור.</w:t>
      </w:r>
    </w:p>
    <w:p w:rsidR="002C2D69" w:rsidRDefault="002C2D69" w:rsidP="002C2D69">
      <w:pPr>
        <w:pStyle w:val="Hesber1st"/>
        <w:tabs>
          <w:tab w:val="clear" w:pos="680"/>
        </w:tabs>
        <w:rPr>
          <w:rtl/>
        </w:rPr>
      </w:pPr>
    </w:p>
    <w:p w:rsidR="002C2D69" w:rsidRPr="00113336" w:rsidRDefault="002C2D69" w:rsidP="002C2D69">
      <w:pPr>
        <w:pStyle w:val="Hesber1st"/>
        <w:tabs>
          <w:tab w:val="clear" w:pos="680"/>
        </w:tabs>
        <w:rPr>
          <w:b/>
          <w:bCs/>
          <w:rtl/>
        </w:rPr>
      </w:pPr>
      <w:r w:rsidRPr="00113336">
        <w:rPr>
          <w:rFonts w:hint="cs"/>
          <w:b/>
          <w:bCs/>
          <w:rtl/>
        </w:rPr>
        <w:t>סעיפים 12-13</w:t>
      </w:r>
    </w:p>
    <w:p w:rsidR="002C2D69" w:rsidRDefault="002C2D69" w:rsidP="002C2D69">
      <w:pPr>
        <w:pStyle w:val="Hesber1st"/>
        <w:tabs>
          <w:tab w:val="clear" w:pos="680"/>
        </w:tabs>
        <w:rPr>
          <w:rtl/>
        </w:rPr>
      </w:pPr>
    </w:p>
    <w:p w:rsidR="002C2D69" w:rsidRDefault="002C2D69" w:rsidP="002C2D69">
      <w:pPr>
        <w:pStyle w:val="Hesber1st"/>
        <w:tabs>
          <w:tab w:val="clear" w:pos="680"/>
        </w:tabs>
        <w:rPr>
          <w:rtl/>
        </w:rPr>
      </w:pPr>
      <w:r>
        <w:rPr>
          <w:rFonts w:hint="cs"/>
          <w:rtl/>
        </w:rPr>
        <w:t>בתיקון מס' 44 לחוק נקבע  כי החל מיום 1.1.2015 יוגש הדו"ח המפורט במע"מ כדו"ח תקופתי. לצורך ביצוע בדיקות והתאמות נוספות במערכות הגבייה מוצע לדחות בשנה נוספת את מועד התחילה של הוראה זו.</w:t>
      </w:r>
    </w:p>
    <w:p w:rsidR="001D49F6" w:rsidRDefault="001D49F6" w:rsidP="002C2D69">
      <w:pPr>
        <w:pStyle w:val="Hesber1st"/>
        <w:tabs>
          <w:tab w:val="clear" w:pos="680"/>
        </w:tabs>
        <w:rPr>
          <w:rtl/>
        </w:rPr>
      </w:pPr>
    </w:p>
    <w:p w:rsidR="002C2D69" w:rsidRPr="001D49F6" w:rsidRDefault="002C2D69" w:rsidP="001D49F6">
      <w:pPr>
        <w:pStyle w:val="Hesber1st"/>
        <w:numPr>
          <w:ilvl w:val="0"/>
          <w:numId w:val="24"/>
        </w:numPr>
        <w:tabs>
          <w:tab w:val="clear" w:pos="680"/>
        </w:tabs>
        <w:rPr>
          <w:b/>
          <w:bCs/>
          <w:u w:val="single"/>
        </w:rPr>
      </w:pPr>
      <w:r w:rsidRPr="001D49F6">
        <w:rPr>
          <w:rFonts w:hint="cs"/>
          <w:b/>
          <w:bCs/>
          <w:u w:val="single"/>
          <w:rtl/>
        </w:rPr>
        <w:t>השפעת החוק המוצע על החוק הקיים</w:t>
      </w:r>
      <w:r w:rsidR="009123E4" w:rsidRPr="001D49F6">
        <w:rPr>
          <w:rFonts w:hint="cs"/>
          <w:b/>
          <w:bCs/>
          <w:u w:val="single"/>
          <w:rtl/>
        </w:rPr>
        <w:t>:</w:t>
      </w:r>
    </w:p>
    <w:p w:rsidR="002C2D69" w:rsidRDefault="002C2D69" w:rsidP="001D49F6">
      <w:pPr>
        <w:pStyle w:val="Hesber1st"/>
        <w:tabs>
          <w:tab w:val="clear" w:pos="680"/>
        </w:tabs>
      </w:pPr>
    </w:p>
    <w:p w:rsidR="002C2D69" w:rsidRDefault="002C2D69" w:rsidP="001D49F6">
      <w:pPr>
        <w:pStyle w:val="Hesber1st"/>
        <w:tabs>
          <w:tab w:val="clear" w:pos="680"/>
        </w:tabs>
        <w:rPr>
          <w:rtl/>
        </w:rPr>
      </w:pPr>
      <w:r>
        <w:rPr>
          <w:rFonts w:hint="cs"/>
          <w:rtl/>
        </w:rPr>
        <w:t>יתוקנו סעיפים 22, 29, 30 ו-105 לחוק הקיים</w:t>
      </w:r>
    </w:p>
    <w:p w:rsidR="002C2D69" w:rsidRDefault="002C2D69" w:rsidP="001D49F6">
      <w:pPr>
        <w:pStyle w:val="Hesber1st"/>
        <w:tabs>
          <w:tab w:val="clear" w:pos="680"/>
        </w:tabs>
        <w:rPr>
          <w:rtl/>
        </w:rPr>
      </w:pPr>
      <w:r>
        <w:rPr>
          <w:rFonts w:hint="cs"/>
          <w:rtl/>
        </w:rPr>
        <w:t xml:space="preserve">יווספו סעיפים 30א, 30ב, 87א ו-103א </w:t>
      </w:r>
      <w:r w:rsidR="009123E4">
        <w:rPr>
          <w:rFonts w:hint="cs"/>
          <w:rtl/>
        </w:rPr>
        <w:t xml:space="preserve">לחוק הקיים </w:t>
      </w:r>
      <w:r>
        <w:rPr>
          <w:rFonts w:hint="cs"/>
          <w:rtl/>
        </w:rPr>
        <w:t xml:space="preserve">ויבוטלו </w:t>
      </w:r>
      <w:r w:rsidR="009123E4">
        <w:rPr>
          <w:rFonts w:hint="cs"/>
          <w:rtl/>
        </w:rPr>
        <w:t xml:space="preserve">בו </w:t>
      </w:r>
      <w:r>
        <w:rPr>
          <w:rFonts w:hint="cs"/>
          <w:rtl/>
        </w:rPr>
        <w:t>סעיפים 96 ו-97</w:t>
      </w:r>
      <w:r w:rsidR="009123E4">
        <w:rPr>
          <w:rFonts w:hint="cs"/>
          <w:rtl/>
        </w:rPr>
        <w:t>.</w:t>
      </w:r>
    </w:p>
    <w:p w:rsidR="002C2D69" w:rsidRDefault="002C2D69" w:rsidP="001D49F6">
      <w:pPr>
        <w:pStyle w:val="Hesber1st"/>
        <w:tabs>
          <w:tab w:val="clear" w:pos="680"/>
        </w:tabs>
        <w:rPr>
          <w:rtl/>
        </w:rPr>
      </w:pPr>
    </w:p>
    <w:p w:rsidR="002C2D69" w:rsidRPr="001D49F6" w:rsidRDefault="002C2D69" w:rsidP="001D49F6">
      <w:pPr>
        <w:pStyle w:val="Hesber1st"/>
        <w:numPr>
          <w:ilvl w:val="0"/>
          <w:numId w:val="24"/>
        </w:numPr>
        <w:tabs>
          <w:tab w:val="clear" w:pos="680"/>
        </w:tabs>
        <w:rPr>
          <w:b/>
          <w:bCs/>
          <w:u w:val="single"/>
        </w:rPr>
      </w:pPr>
      <w:r w:rsidRPr="001D49F6">
        <w:rPr>
          <w:rFonts w:hint="cs"/>
          <w:b/>
          <w:bCs/>
          <w:u w:val="single"/>
          <w:rtl/>
        </w:rPr>
        <w:lastRenderedPageBreak/>
        <w:t>השפעת החוק המוצע על תקציב המדינה</w:t>
      </w:r>
      <w:r w:rsidR="009123E4" w:rsidRPr="001D49F6">
        <w:rPr>
          <w:rFonts w:hint="cs"/>
          <w:b/>
          <w:bCs/>
          <w:u w:val="single"/>
          <w:rtl/>
        </w:rPr>
        <w:t>:</w:t>
      </w:r>
    </w:p>
    <w:p w:rsidR="009123E4" w:rsidRDefault="009123E4" w:rsidP="001D49F6">
      <w:pPr>
        <w:pStyle w:val="Hesber1st"/>
        <w:tabs>
          <w:tab w:val="clear" w:pos="680"/>
        </w:tabs>
      </w:pPr>
    </w:p>
    <w:p w:rsidR="00BF3607" w:rsidRDefault="002C2D69" w:rsidP="00BF3607">
      <w:pPr>
        <w:pStyle w:val="Hesber1st"/>
        <w:tabs>
          <w:tab w:val="clear" w:pos="680"/>
        </w:tabs>
        <w:rPr>
          <w:rtl/>
        </w:rPr>
      </w:pPr>
      <w:r>
        <w:rPr>
          <w:rFonts w:hint="cs"/>
          <w:rtl/>
        </w:rPr>
        <w:t>צפוי הפסד הכנסות</w:t>
      </w:r>
      <w:r w:rsidR="002E6E0E">
        <w:rPr>
          <w:rFonts w:hint="cs"/>
          <w:rtl/>
        </w:rPr>
        <w:t xml:space="preserve"> חד פעמי של 350 מ</w:t>
      </w:r>
      <w:r w:rsidR="00BF3607">
        <w:rPr>
          <w:rFonts w:hint="cs"/>
          <w:rtl/>
        </w:rPr>
        <w:t>יליון שקלים חדשים בשנת המס 2014 בגין סעיפים 1 ו2.</w:t>
      </w:r>
      <w:r w:rsidR="002E6E0E">
        <w:rPr>
          <w:rFonts w:hint="cs"/>
          <w:rtl/>
        </w:rPr>
        <w:t xml:space="preserve"> </w:t>
      </w:r>
    </w:p>
    <w:p w:rsidR="002C2D69" w:rsidRDefault="00BF3607" w:rsidP="00ED6DA5">
      <w:pPr>
        <w:pStyle w:val="Hesber1st"/>
        <w:tabs>
          <w:tab w:val="clear" w:pos="680"/>
        </w:tabs>
        <w:rPr>
          <w:rtl/>
        </w:rPr>
      </w:pPr>
      <w:r>
        <w:rPr>
          <w:rFonts w:hint="cs"/>
          <w:rtl/>
        </w:rPr>
        <w:t xml:space="preserve">לגבי סעיפים 4 ו5, </w:t>
      </w:r>
      <w:r w:rsidR="002E6E0E">
        <w:rPr>
          <w:rFonts w:hint="cs"/>
          <w:rtl/>
        </w:rPr>
        <w:t>בהנחה שהיקף הפרויקטים של פינוי בינוי ותמ"א 38 ישאר ברמתו הנוכחית השפעת החוק המוצע על תקציב המדינה תהיה זניחה.</w:t>
      </w:r>
      <w:r w:rsidR="002C2D69">
        <w:rPr>
          <w:rFonts w:hint="cs"/>
          <w:rtl/>
        </w:rPr>
        <w:t xml:space="preserve"> </w:t>
      </w:r>
    </w:p>
    <w:p w:rsidR="001D49F6" w:rsidRDefault="001D49F6" w:rsidP="001D49F6">
      <w:pPr>
        <w:pStyle w:val="Hesber1st"/>
        <w:tabs>
          <w:tab w:val="clear" w:pos="680"/>
        </w:tabs>
        <w:rPr>
          <w:rtl/>
        </w:rPr>
      </w:pPr>
    </w:p>
    <w:p w:rsidR="002C2D69" w:rsidRPr="001D49F6" w:rsidRDefault="002C2D69" w:rsidP="001D49F6">
      <w:pPr>
        <w:pStyle w:val="Hesber1st"/>
        <w:numPr>
          <w:ilvl w:val="0"/>
          <w:numId w:val="24"/>
        </w:numPr>
        <w:tabs>
          <w:tab w:val="clear" w:pos="680"/>
        </w:tabs>
        <w:spacing w:after="120"/>
        <w:rPr>
          <w:b/>
          <w:bCs/>
          <w:u w:val="single"/>
        </w:rPr>
      </w:pPr>
      <w:r w:rsidRPr="001D49F6">
        <w:rPr>
          <w:rFonts w:hint="cs"/>
          <w:b/>
          <w:bCs/>
          <w:u w:val="single"/>
          <w:rtl/>
        </w:rPr>
        <w:t>להלן נוסח החוק:</w:t>
      </w:r>
    </w:p>
    <w:p w:rsidR="00BA0745" w:rsidRDefault="00BA0745" w:rsidP="0075005F">
      <w:pPr>
        <w:pStyle w:val="HeadMitparsemetBaze"/>
        <w:keepNext w:val="0"/>
        <w:keepLines w:val="0"/>
        <w:pageBreakBefore w:val="0"/>
        <w:rPr>
          <w:rtl/>
        </w:rPr>
      </w:pPr>
      <w:r>
        <w:rPr>
          <w:rtl/>
        </w:rPr>
        <w:t xml:space="preserve">הצעת חוק </w:t>
      </w:r>
      <w:r>
        <w:rPr>
          <w:rFonts w:hint="cs"/>
          <w:rtl/>
        </w:rPr>
        <w:t xml:space="preserve">מטעם הממשלה: </w:t>
      </w:r>
    </w:p>
    <w:p w:rsidR="00BA0745" w:rsidRDefault="00BA0745" w:rsidP="002C2D69">
      <w:pPr>
        <w:pStyle w:val="HeadHatzaotHok"/>
        <w:keepNext w:val="0"/>
        <w:keepLines w:val="0"/>
        <w:rPr>
          <w:rtl/>
        </w:rPr>
      </w:pPr>
      <w:r>
        <w:rPr>
          <w:rtl/>
        </w:rPr>
        <w:t>הצעת חו</w:t>
      </w:r>
      <w:r>
        <w:rPr>
          <w:rFonts w:hint="cs"/>
          <w:rtl/>
        </w:rPr>
        <w:t>ק מס ערך מוסף (תיקון מס' 45)</w:t>
      </w:r>
      <w:r w:rsidR="00325824">
        <w:rPr>
          <w:rFonts w:hint="cs"/>
          <w:rtl/>
        </w:rPr>
        <w:t>, התשע"ד</w:t>
      </w:r>
      <w:r w:rsidR="002C2D69">
        <w:rPr>
          <w:rFonts w:hint="cs"/>
          <w:rtl/>
        </w:rPr>
        <w:t xml:space="preserve"> -</w:t>
      </w:r>
      <w:r w:rsidR="00325824">
        <w:rPr>
          <w:rFonts w:hint="cs"/>
          <w:rtl/>
        </w:rPr>
        <w:t xml:space="preserve"> 2014</w:t>
      </w:r>
    </w:p>
    <w:tbl>
      <w:tblPr>
        <w:bidiVisual/>
        <w:tblW w:w="9550" w:type="dxa"/>
        <w:tblLayout w:type="fixed"/>
        <w:tblCellMar>
          <w:top w:w="57" w:type="dxa"/>
          <w:left w:w="0" w:type="dxa"/>
          <w:bottom w:w="57" w:type="dxa"/>
          <w:right w:w="0" w:type="dxa"/>
        </w:tblCellMar>
        <w:tblLook w:val="01E0" w:firstRow="1" w:lastRow="1" w:firstColumn="1" w:lastColumn="1" w:noHBand="0" w:noVBand="0"/>
      </w:tblPr>
      <w:tblGrid>
        <w:gridCol w:w="1820"/>
        <w:gridCol w:w="18"/>
        <w:gridCol w:w="16"/>
        <w:gridCol w:w="574"/>
        <w:gridCol w:w="23"/>
        <w:gridCol w:w="22"/>
        <w:gridCol w:w="473"/>
        <w:gridCol w:w="88"/>
        <w:gridCol w:w="29"/>
        <w:gridCol w:w="28"/>
        <w:gridCol w:w="462"/>
        <w:gridCol w:w="88"/>
        <w:gridCol w:w="35"/>
        <w:gridCol w:w="483"/>
        <w:gridCol w:w="606"/>
        <w:gridCol w:w="606"/>
        <w:gridCol w:w="3912"/>
        <w:gridCol w:w="88"/>
        <w:gridCol w:w="89"/>
        <w:gridCol w:w="90"/>
      </w:tblGrid>
      <w:tr w:rsidR="00225D1A" w:rsidTr="00095D53">
        <w:trPr>
          <w:gridAfter w:val="3"/>
          <w:wAfter w:w="267" w:type="dxa"/>
          <w:cantSplit/>
          <w:trHeight w:val="60"/>
        </w:trPr>
        <w:tc>
          <w:tcPr>
            <w:tcW w:w="1820" w:type="dxa"/>
          </w:tcPr>
          <w:p w:rsidR="00225D1A" w:rsidRDefault="00CC7927" w:rsidP="00113336">
            <w:pPr>
              <w:pStyle w:val="TableSideHeading"/>
              <w:keepLines w:val="0"/>
            </w:pPr>
            <w:r>
              <w:rPr>
                <w:rFonts w:hint="cs"/>
                <w:rtl/>
              </w:rPr>
              <w:t>תיקון סעיף 22</w:t>
            </w:r>
          </w:p>
        </w:tc>
        <w:tc>
          <w:tcPr>
            <w:tcW w:w="608" w:type="dxa"/>
            <w:gridSpan w:val="3"/>
          </w:tcPr>
          <w:p w:rsidR="00225D1A" w:rsidRDefault="00225D1A" w:rsidP="00225D1A">
            <w:pPr>
              <w:pStyle w:val="TableText"/>
              <w:keepLines w:val="0"/>
              <w:numPr>
                <w:ilvl w:val="0"/>
                <w:numId w:val="1"/>
              </w:numPr>
            </w:pPr>
          </w:p>
        </w:tc>
        <w:tc>
          <w:tcPr>
            <w:tcW w:w="6855" w:type="dxa"/>
            <w:gridSpan w:val="13"/>
          </w:tcPr>
          <w:p w:rsidR="00225D1A" w:rsidRPr="00C34DE2" w:rsidRDefault="00BF6FF2" w:rsidP="009123E4">
            <w:pPr>
              <w:pStyle w:val="TableBlock"/>
              <w:keepLines w:val="0"/>
            </w:pPr>
            <w:r>
              <w:rPr>
                <w:rFonts w:hint="cs"/>
                <w:rtl/>
              </w:rPr>
              <w:t>בחוק מס ערך מוסף, התשל"ו -1975( להלן- "החוק העיקרי),</w:t>
            </w:r>
            <w:r w:rsidR="009123E4">
              <w:rPr>
                <w:rStyle w:val="a7"/>
                <w:rtl/>
              </w:rPr>
              <w:footnoteReference w:id="1"/>
            </w:r>
            <w:r>
              <w:rPr>
                <w:rFonts w:hint="cs"/>
                <w:rtl/>
              </w:rPr>
              <w:t xml:space="preserve"> </w:t>
            </w:r>
            <w:r w:rsidR="00225D1A">
              <w:rPr>
                <w:rFonts w:hint="cs"/>
                <w:rtl/>
              </w:rPr>
              <w:t>בסעיף 22, האמור בו יסומן (א) ואחריו יבוא:</w:t>
            </w:r>
          </w:p>
        </w:tc>
      </w:tr>
      <w:tr w:rsidR="00225D1A" w:rsidTr="00095D53">
        <w:trPr>
          <w:gridAfter w:val="3"/>
          <w:wAfter w:w="267" w:type="dxa"/>
          <w:cantSplit/>
          <w:trHeight w:val="60"/>
        </w:trPr>
        <w:tc>
          <w:tcPr>
            <w:tcW w:w="1820" w:type="dxa"/>
          </w:tcPr>
          <w:p w:rsidR="00225D1A" w:rsidRDefault="00225D1A">
            <w:pPr>
              <w:pStyle w:val="TableSideHeading"/>
            </w:pPr>
          </w:p>
        </w:tc>
        <w:tc>
          <w:tcPr>
            <w:tcW w:w="608" w:type="dxa"/>
            <w:gridSpan w:val="3"/>
          </w:tcPr>
          <w:p w:rsidR="00225D1A" w:rsidRDefault="00225D1A">
            <w:pPr>
              <w:pStyle w:val="TableText"/>
            </w:pPr>
          </w:p>
        </w:tc>
        <w:tc>
          <w:tcPr>
            <w:tcW w:w="518" w:type="dxa"/>
            <w:gridSpan w:val="3"/>
          </w:tcPr>
          <w:p w:rsidR="00225D1A" w:rsidRDefault="00225D1A">
            <w:pPr>
              <w:pStyle w:val="TableText"/>
            </w:pPr>
          </w:p>
        </w:tc>
        <w:tc>
          <w:tcPr>
            <w:tcW w:w="6337" w:type="dxa"/>
            <w:gridSpan w:val="10"/>
          </w:tcPr>
          <w:p w:rsidR="00225D1A" w:rsidRDefault="00225D1A" w:rsidP="00DD1803">
            <w:pPr>
              <w:pStyle w:val="TableBlock"/>
              <w:rPr>
                <w:rtl/>
              </w:rPr>
            </w:pPr>
            <w:r>
              <w:rPr>
                <w:rFonts w:hint="cs"/>
                <w:rtl/>
              </w:rPr>
              <w:t>"(ב) על אף האמור בסעיף קטן (א)</w:t>
            </w:r>
            <w:r w:rsidR="001355BA">
              <w:rPr>
                <w:rFonts w:hint="cs"/>
                <w:rtl/>
              </w:rPr>
              <w:t xml:space="preserve">, </w:t>
            </w:r>
            <w:r w:rsidR="001355BA" w:rsidRPr="001355BA">
              <w:rPr>
                <w:rtl/>
              </w:rPr>
              <w:t xml:space="preserve">בעסקה של מכר </w:t>
            </w:r>
            <w:r w:rsidR="00DD1803">
              <w:rPr>
                <w:rFonts w:hint="cs"/>
                <w:rtl/>
              </w:rPr>
              <w:t xml:space="preserve">טובין </w:t>
            </w:r>
            <w:r w:rsidR="001355BA" w:rsidRPr="001355BA">
              <w:rPr>
                <w:rtl/>
              </w:rPr>
              <w:t xml:space="preserve">על ידי עוסק </w:t>
            </w:r>
            <w:r w:rsidR="001355BA">
              <w:rPr>
                <w:rFonts w:hint="cs"/>
                <w:rtl/>
              </w:rPr>
              <w:t>שמחזור עסקאותיו אינו עולה על 2 מיליון שקלים חדשים</w:t>
            </w:r>
            <w:r w:rsidR="001355BA" w:rsidRPr="001355BA">
              <w:rPr>
                <w:rtl/>
              </w:rPr>
              <w:t>, יחול החיוב במס עם קבלת התמורה ועל הסכום שהתקבל</w:t>
            </w:r>
            <w:r w:rsidR="00E46731">
              <w:rPr>
                <w:rFonts w:hint="cs"/>
                <w:rtl/>
              </w:rPr>
              <w:t>"</w:t>
            </w:r>
            <w:r w:rsidR="001355BA">
              <w:rPr>
                <w:rFonts w:hint="cs"/>
                <w:rtl/>
              </w:rPr>
              <w:t>.</w:t>
            </w:r>
          </w:p>
        </w:tc>
      </w:tr>
      <w:tr w:rsidR="001355BA" w:rsidTr="00095D53">
        <w:trPr>
          <w:gridAfter w:val="3"/>
          <w:wAfter w:w="267" w:type="dxa"/>
          <w:cantSplit/>
          <w:trHeight w:val="60"/>
        </w:trPr>
        <w:tc>
          <w:tcPr>
            <w:tcW w:w="1820" w:type="dxa"/>
          </w:tcPr>
          <w:p w:rsidR="001355BA" w:rsidRDefault="00CC7927" w:rsidP="00113336">
            <w:pPr>
              <w:pStyle w:val="TableSideHeading"/>
              <w:keepLines w:val="0"/>
            </w:pPr>
            <w:r>
              <w:rPr>
                <w:rFonts w:hint="cs"/>
                <w:rtl/>
              </w:rPr>
              <w:t>תיקון סעיף 29</w:t>
            </w:r>
          </w:p>
        </w:tc>
        <w:tc>
          <w:tcPr>
            <w:tcW w:w="608" w:type="dxa"/>
            <w:gridSpan w:val="3"/>
          </w:tcPr>
          <w:p w:rsidR="001355BA" w:rsidRDefault="001355BA" w:rsidP="001355BA">
            <w:pPr>
              <w:pStyle w:val="TableText"/>
              <w:keepLines w:val="0"/>
              <w:numPr>
                <w:ilvl w:val="0"/>
                <w:numId w:val="1"/>
              </w:numPr>
            </w:pPr>
          </w:p>
        </w:tc>
        <w:tc>
          <w:tcPr>
            <w:tcW w:w="6855" w:type="dxa"/>
            <w:gridSpan w:val="13"/>
          </w:tcPr>
          <w:p w:rsidR="001355BA" w:rsidRPr="00C34DE2" w:rsidRDefault="001355BA" w:rsidP="00113336">
            <w:pPr>
              <w:pStyle w:val="TableBlock"/>
              <w:keepLines w:val="0"/>
            </w:pPr>
            <w:r>
              <w:rPr>
                <w:rFonts w:hint="cs"/>
                <w:rtl/>
              </w:rPr>
              <w:t xml:space="preserve">בסעיף </w:t>
            </w:r>
            <w:r w:rsidR="00BF6FF2">
              <w:rPr>
                <w:rFonts w:hint="cs"/>
                <w:rtl/>
              </w:rPr>
              <w:t xml:space="preserve"> </w:t>
            </w:r>
            <w:r>
              <w:rPr>
                <w:rFonts w:hint="cs"/>
                <w:rtl/>
              </w:rPr>
              <w:t>29</w:t>
            </w:r>
            <w:r w:rsidR="00BF6FF2">
              <w:rPr>
                <w:rFonts w:hint="cs"/>
                <w:rtl/>
              </w:rPr>
              <w:t xml:space="preserve"> לחוק העיקרי</w:t>
            </w:r>
            <w:r>
              <w:rPr>
                <w:rFonts w:hint="cs"/>
                <w:rtl/>
              </w:rPr>
              <w:t>, בסעיף קטן (1ב), במקום "סעיף 2(ד)" יבוא "סעיף 2(ג)"</w:t>
            </w:r>
            <w:r w:rsidR="00E46731">
              <w:rPr>
                <w:rFonts w:hint="cs"/>
                <w:rtl/>
              </w:rPr>
              <w:t>.</w:t>
            </w:r>
          </w:p>
        </w:tc>
      </w:tr>
      <w:tr w:rsidR="00F95522" w:rsidTr="00095D53">
        <w:trPr>
          <w:gridAfter w:val="3"/>
          <w:wAfter w:w="267" w:type="dxa"/>
          <w:cantSplit/>
          <w:trHeight w:val="60"/>
        </w:trPr>
        <w:tc>
          <w:tcPr>
            <w:tcW w:w="1820" w:type="dxa"/>
          </w:tcPr>
          <w:p w:rsidR="00F95522" w:rsidRDefault="00CC7927" w:rsidP="00113336">
            <w:pPr>
              <w:pStyle w:val="TableSideHeading"/>
              <w:keepLines w:val="0"/>
            </w:pPr>
            <w:r>
              <w:rPr>
                <w:rFonts w:hint="cs"/>
                <w:rtl/>
              </w:rPr>
              <w:t>תיקון סעיף 30</w:t>
            </w:r>
          </w:p>
        </w:tc>
        <w:tc>
          <w:tcPr>
            <w:tcW w:w="608" w:type="dxa"/>
            <w:gridSpan w:val="3"/>
          </w:tcPr>
          <w:p w:rsidR="00F95522" w:rsidRDefault="00F95522" w:rsidP="00F95522">
            <w:pPr>
              <w:pStyle w:val="TableText"/>
              <w:keepLines w:val="0"/>
              <w:numPr>
                <w:ilvl w:val="0"/>
                <w:numId w:val="1"/>
              </w:numPr>
            </w:pPr>
          </w:p>
        </w:tc>
        <w:tc>
          <w:tcPr>
            <w:tcW w:w="6855" w:type="dxa"/>
            <w:gridSpan w:val="13"/>
          </w:tcPr>
          <w:p w:rsidR="00F95522" w:rsidRPr="00C34DE2" w:rsidRDefault="002B1196" w:rsidP="00113336">
            <w:pPr>
              <w:pStyle w:val="TableBlock"/>
              <w:keepLines w:val="0"/>
            </w:pPr>
            <w:r>
              <w:rPr>
                <w:rFonts w:hint="cs"/>
                <w:rtl/>
              </w:rPr>
              <w:t>בסעיף 30</w:t>
            </w:r>
            <w:r w:rsidR="00BF6FF2">
              <w:rPr>
                <w:rFonts w:hint="cs"/>
                <w:rtl/>
              </w:rPr>
              <w:t xml:space="preserve"> לחוק העיקרי</w:t>
            </w:r>
            <w:r>
              <w:rPr>
                <w:rFonts w:hint="cs"/>
                <w:rtl/>
              </w:rPr>
              <w:t>,</w:t>
            </w:r>
            <w:r w:rsidR="00F95522">
              <w:rPr>
                <w:rFonts w:hint="cs"/>
                <w:rtl/>
              </w:rPr>
              <w:t xml:space="preserve"> בסעיף קטן (א), אחרי פסקה (18) יבוא:</w:t>
            </w:r>
          </w:p>
        </w:tc>
      </w:tr>
      <w:tr w:rsidR="00F95522" w:rsidTr="00095D53">
        <w:trPr>
          <w:gridAfter w:val="3"/>
          <w:wAfter w:w="267" w:type="dxa"/>
          <w:cantSplit/>
          <w:trHeight w:val="60"/>
        </w:trPr>
        <w:tc>
          <w:tcPr>
            <w:tcW w:w="1820" w:type="dxa"/>
          </w:tcPr>
          <w:p w:rsidR="00F95522" w:rsidRDefault="00F95522">
            <w:pPr>
              <w:pStyle w:val="TableSideHeading"/>
            </w:pPr>
          </w:p>
        </w:tc>
        <w:tc>
          <w:tcPr>
            <w:tcW w:w="608" w:type="dxa"/>
            <w:gridSpan w:val="3"/>
          </w:tcPr>
          <w:p w:rsidR="00F95522" w:rsidRDefault="00F95522">
            <w:pPr>
              <w:pStyle w:val="TableText"/>
            </w:pPr>
          </w:p>
        </w:tc>
        <w:tc>
          <w:tcPr>
            <w:tcW w:w="518" w:type="dxa"/>
            <w:gridSpan w:val="3"/>
          </w:tcPr>
          <w:p w:rsidR="00F95522" w:rsidRDefault="00F95522">
            <w:pPr>
              <w:pStyle w:val="TableText"/>
            </w:pPr>
          </w:p>
        </w:tc>
        <w:tc>
          <w:tcPr>
            <w:tcW w:w="6337" w:type="dxa"/>
            <w:gridSpan w:val="10"/>
          </w:tcPr>
          <w:p w:rsidR="00F95522" w:rsidRDefault="00F95522" w:rsidP="00526E41">
            <w:pPr>
              <w:pStyle w:val="TableBlock"/>
            </w:pPr>
            <w:r>
              <w:rPr>
                <w:rFonts w:hint="cs"/>
                <w:rtl/>
              </w:rPr>
              <w:t xml:space="preserve">"(19) </w:t>
            </w:r>
            <w:r w:rsidRPr="00C1119A">
              <w:rPr>
                <w:rFonts w:hint="cs"/>
                <w:rtl/>
              </w:rPr>
              <w:t xml:space="preserve">מתן </w:t>
            </w:r>
            <w:r w:rsidR="00C1119A">
              <w:rPr>
                <w:rtl/>
              </w:rPr>
              <w:t xml:space="preserve">שירותים </w:t>
            </w:r>
            <w:r w:rsidR="00526E41">
              <w:rPr>
                <w:rFonts w:hint="cs"/>
                <w:rtl/>
              </w:rPr>
              <w:t xml:space="preserve">שקבע </w:t>
            </w:r>
            <w:r w:rsidR="00C1119A">
              <w:rPr>
                <w:rtl/>
              </w:rPr>
              <w:t>שר האוצר קב</w:t>
            </w:r>
            <w:r w:rsidR="00C1119A">
              <w:rPr>
                <w:rFonts w:hint="cs"/>
                <w:rtl/>
              </w:rPr>
              <w:t>ע</w:t>
            </w:r>
            <w:r w:rsidR="00C1119A" w:rsidRPr="00C1119A">
              <w:rPr>
                <w:rtl/>
              </w:rPr>
              <w:t xml:space="preserve"> הניתנים לתושב חו</w:t>
            </w:r>
            <w:r w:rsidR="00526E41">
              <w:rPr>
                <w:rtl/>
              </w:rPr>
              <w:t xml:space="preserve">ץ לצורך ביצוע של ניסויים </w:t>
            </w:r>
            <w:r w:rsidR="00526E41">
              <w:rPr>
                <w:rFonts w:hint="cs"/>
                <w:rtl/>
              </w:rPr>
              <w:t>רפואיים</w:t>
            </w:r>
            <w:r w:rsidR="00C1119A" w:rsidRPr="00C1119A">
              <w:rPr>
                <w:rtl/>
              </w:rPr>
              <w:t xml:space="preserve"> בישראל</w:t>
            </w:r>
            <w:r w:rsidR="00E46731">
              <w:rPr>
                <w:rFonts w:hint="cs"/>
                <w:rtl/>
              </w:rPr>
              <w:t>"</w:t>
            </w:r>
            <w:r w:rsidR="00526E41">
              <w:rPr>
                <w:rFonts w:hint="cs"/>
                <w:rtl/>
              </w:rPr>
              <w:t>.</w:t>
            </w:r>
          </w:p>
        </w:tc>
      </w:tr>
      <w:tr w:rsidR="00BA0745" w:rsidTr="00095D53">
        <w:trPr>
          <w:gridAfter w:val="3"/>
          <w:wAfter w:w="267" w:type="dxa"/>
          <w:cantSplit/>
          <w:trHeight w:val="60"/>
        </w:trPr>
        <w:tc>
          <w:tcPr>
            <w:tcW w:w="1820" w:type="dxa"/>
          </w:tcPr>
          <w:p w:rsidR="00BA0745" w:rsidRDefault="00CC7927" w:rsidP="00113336">
            <w:pPr>
              <w:pStyle w:val="TableSideHeading"/>
              <w:keepLines w:val="0"/>
            </w:pPr>
            <w:r>
              <w:rPr>
                <w:rFonts w:hint="cs"/>
                <w:rtl/>
              </w:rPr>
              <w:t>הוספת סעיפים 30א. ו-30ב.</w:t>
            </w:r>
          </w:p>
        </w:tc>
        <w:tc>
          <w:tcPr>
            <w:tcW w:w="608" w:type="dxa"/>
            <w:gridSpan w:val="3"/>
          </w:tcPr>
          <w:p w:rsidR="00BA0745" w:rsidRDefault="00BA0745" w:rsidP="00BA0745">
            <w:pPr>
              <w:pStyle w:val="TableText"/>
              <w:keepLines w:val="0"/>
              <w:numPr>
                <w:ilvl w:val="0"/>
                <w:numId w:val="1"/>
              </w:numPr>
            </w:pPr>
          </w:p>
        </w:tc>
        <w:tc>
          <w:tcPr>
            <w:tcW w:w="6855" w:type="dxa"/>
            <w:gridSpan w:val="13"/>
          </w:tcPr>
          <w:p w:rsidR="00BA0745" w:rsidRPr="00C34DE2" w:rsidRDefault="00947463" w:rsidP="00113336">
            <w:pPr>
              <w:pStyle w:val="TableBlock"/>
              <w:keepLines w:val="0"/>
            </w:pPr>
            <w:r>
              <w:rPr>
                <w:rFonts w:hint="cs"/>
                <w:rtl/>
              </w:rPr>
              <w:t xml:space="preserve">אחרי סעיף 30 </w:t>
            </w:r>
            <w:r w:rsidR="00BF6FF2">
              <w:rPr>
                <w:rFonts w:hint="cs"/>
                <w:rtl/>
              </w:rPr>
              <w:t xml:space="preserve">לחוק העיקרי </w:t>
            </w:r>
            <w:r>
              <w:rPr>
                <w:rFonts w:hint="cs"/>
                <w:rtl/>
              </w:rPr>
              <w:t>יבוא:</w:t>
            </w:r>
          </w:p>
        </w:tc>
      </w:tr>
      <w:tr w:rsidR="00947463" w:rsidTr="00095D53">
        <w:trPr>
          <w:gridAfter w:val="3"/>
          <w:wAfter w:w="267" w:type="dxa"/>
          <w:cantSplit/>
          <w:trHeight w:val="60"/>
        </w:trPr>
        <w:tc>
          <w:tcPr>
            <w:tcW w:w="1820" w:type="dxa"/>
          </w:tcPr>
          <w:p w:rsidR="00947463" w:rsidRDefault="00947463">
            <w:pPr>
              <w:pStyle w:val="TableSideHeading"/>
              <w:keepLines w:val="0"/>
            </w:pPr>
          </w:p>
        </w:tc>
        <w:tc>
          <w:tcPr>
            <w:tcW w:w="608" w:type="dxa"/>
            <w:gridSpan w:val="3"/>
          </w:tcPr>
          <w:p w:rsidR="00947463" w:rsidRDefault="00947463">
            <w:pPr>
              <w:pStyle w:val="TableText"/>
              <w:keepLines w:val="0"/>
            </w:pPr>
          </w:p>
        </w:tc>
        <w:tc>
          <w:tcPr>
            <w:tcW w:w="1731" w:type="dxa"/>
            <w:gridSpan w:val="10"/>
          </w:tcPr>
          <w:p w:rsidR="00947463" w:rsidRDefault="00947463">
            <w:pPr>
              <w:pStyle w:val="TableInnerSideHeading"/>
            </w:pPr>
            <w:r>
              <w:rPr>
                <w:rFonts w:hint="cs"/>
                <w:rtl/>
              </w:rPr>
              <w:t xml:space="preserve">"מתחמי פינוי בינוי </w:t>
            </w:r>
            <w:r>
              <w:rPr>
                <w:rtl/>
              </w:rPr>
              <w:t>–</w:t>
            </w:r>
            <w:r>
              <w:rPr>
                <w:rFonts w:hint="cs"/>
                <w:rtl/>
              </w:rPr>
              <w:t xml:space="preserve"> הוראות מיוחדות</w:t>
            </w:r>
          </w:p>
        </w:tc>
        <w:tc>
          <w:tcPr>
            <w:tcW w:w="606" w:type="dxa"/>
          </w:tcPr>
          <w:p w:rsidR="00947463" w:rsidRPr="00947463" w:rsidRDefault="00947463">
            <w:pPr>
              <w:pStyle w:val="TableText"/>
            </w:pPr>
            <w:r>
              <w:rPr>
                <w:rFonts w:hint="cs"/>
                <w:rtl/>
              </w:rPr>
              <w:t>30א.</w:t>
            </w:r>
          </w:p>
        </w:tc>
        <w:tc>
          <w:tcPr>
            <w:tcW w:w="4518" w:type="dxa"/>
            <w:gridSpan w:val="2"/>
          </w:tcPr>
          <w:p w:rsidR="00947463" w:rsidRDefault="00947463" w:rsidP="009123E4">
            <w:pPr>
              <w:pStyle w:val="TableBlock"/>
              <w:numPr>
                <w:ilvl w:val="0"/>
                <w:numId w:val="5"/>
              </w:numPr>
              <w:tabs>
                <w:tab w:val="left" w:pos="624"/>
              </w:tabs>
            </w:pPr>
            <w:r w:rsidRPr="00947463">
              <w:rPr>
                <w:rtl/>
              </w:rPr>
              <w:t>למונחים המופיעים בסעיף זה תהא המשמעות הנודעת להם בפרק חמישי 4 לחוק מיסוי מקרקעין (שבח, מכירה ורכישה), התשכ"ג-1963 (בסעיף זה - חוק מיסוי מקרקעין).</w:t>
            </w:r>
            <w:r w:rsidR="009123E4">
              <w:rPr>
                <w:rStyle w:val="a7"/>
              </w:rPr>
              <w:footnoteReference w:id="2"/>
            </w:r>
          </w:p>
        </w:tc>
      </w:tr>
      <w:tr w:rsidR="00947463" w:rsidTr="00095D53">
        <w:trPr>
          <w:gridAfter w:val="3"/>
          <w:wAfter w:w="267" w:type="dxa"/>
          <w:cantSplit/>
          <w:trHeight w:val="60"/>
        </w:trPr>
        <w:tc>
          <w:tcPr>
            <w:tcW w:w="1820" w:type="dxa"/>
          </w:tcPr>
          <w:p w:rsidR="00947463" w:rsidRDefault="00947463">
            <w:pPr>
              <w:pStyle w:val="TableSideHeading"/>
            </w:pPr>
          </w:p>
        </w:tc>
        <w:tc>
          <w:tcPr>
            <w:tcW w:w="608" w:type="dxa"/>
            <w:gridSpan w:val="3"/>
          </w:tcPr>
          <w:p w:rsidR="00947463" w:rsidRDefault="00947463">
            <w:pPr>
              <w:pStyle w:val="TableText"/>
            </w:pPr>
          </w:p>
        </w:tc>
        <w:tc>
          <w:tcPr>
            <w:tcW w:w="518" w:type="dxa"/>
            <w:gridSpan w:val="3"/>
          </w:tcPr>
          <w:p w:rsidR="00947463" w:rsidRDefault="00947463">
            <w:pPr>
              <w:pStyle w:val="TableText"/>
            </w:pPr>
          </w:p>
        </w:tc>
        <w:tc>
          <w:tcPr>
            <w:tcW w:w="607" w:type="dxa"/>
            <w:gridSpan w:val="4"/>
          </w:tcPr>
          <w:p w:rsidR="00947463" w:rsidRDefault="00947463">
            <w:pPr>
              <w:pStyle w:val="TableText"/>
            </w:pPr>
          </w:p>
        </w:tc>
        <w:tc>
          <w:tcPr>
            <w:tcW w:w="606" w:type="dxa"/>
            <w:gridSpan w:val="3"/>
          </w:tcPr>
          <w:p w:rsidR="00947463" w:rsidRDefault="00947463">
            <w:pPr>
              <w:pStyle w:val="TableText"/>
            </w:pPr>
          </w:p>
        </w:tc>
        <w:tc>
          <w:tcPr>
            <w:tcW w:w="606" w:type="dxa"/>
          </w:tcPr>
          <w:p w:rsidR="00947463" w:rsidRDefault="00947463">
            <w:pPr>
              <w:pStyle w:val="TableText"/>
            </w:pPr>
          </w:p>
        </w:tc>
        <w:tc>
          <w:tcPr>
            <w:tcW w:w="4518" w:type="dxa"/>
            <w:gridSpan w:val="2"/>
          </w:tcPr>
          <w:p w:rsidR="00947463" w:rsidRDefault="00947463" w:rsidP="00947463">
            <w:pPr>
              <w:pStyle w:val="TableBlock"/>
              <w:numPr>
                <w:ilvl w:val="0"/>
                <w:numId w:val="5"/>
              </w:numPr>
              <w:tabs>
                <w:tab w:val="left" w:pos="624"/>
              </w:tabs>
            </w:pPr>
            <w:r w:rsidRPr="00947463">
              <w:rPr>
                <w:rtl/>
              </w:rPr>
              <w:t>במכירת זכות ביחידת מגורים חלופית בידי יזם, וכן במתן שירותי בניה במתחם, על ידי יזם, בתמורה לרכישת זכות על ידיו ביחידת מגורים במתחם, שנעשתה בהתאם להוראות סעיף 49כב לחוק מיסוי מקרקעין - יהיה אותו חלק במחירם שאינו עולה על תקרת השווי,</w:t>
            </w:r>
            <w:r>
              <w:rPr>
                <w:rFonts w:hint="cs"/>
                <w:rtl/>
              </w:rPr>
              <w:t xml:space="preserve"> חייב במס בשיעור אפס.</w:t>
            </w:r>
          </w:p>
        </w:tc>
      </w:tr>
      <w:tr w:rsidR="00947463" w:rsidTr="00095D53">
        <w:trPr>
          <w:gridAfter w:val="3"/>
          <w:wAfter w:w="267" w:type="dxa"/>
          <w:cantSplit/>
          <w:trHeight w:val="60"/>
        </w:trPr>
        <w:tc>
          <w:tcPr>
            <w:tcW w:w="1820" w:type="dxa"/>
          </w:tcPr>
          <w:p w:rsidR="00947463" w:rsidRDefault="00947463">
            <w:pPr>
              <w:pStyle w:val="TableSideHeading"/>
            </w:pPr>
          </w:p>
        </w:tc>
        <w:tc>
          <w:tcPr>
            <w:tcW w:w="608" w:type="dxa"/>
            <w:gridSpan w:val="3"/>
          </w:tcPr>
          <w:p w:rsidR="00947463" w:rsidRDefault="00947463" w:rsidP="00947463">
            <w:pPr>
              <w:pStyle w:val="TableText"/>
            </w:pPr>
          </w:p>
        </w:tc>
        <w:tc>
          <w:tcPr>
            <w:tcW w:w="518" w:type="dxa"/>
            <w:gridSpan w:val="3"/>
          </w:tcPr>
          <w:p w:rsidR="00947463" w:rsidRDefault="00947463">
            <w:pPr>
              <w:pStyle w:val="TableText"/>
            </w:pPr>
          </w:p>
        </w:tc>
        <w:tc>
          <w:tcPr>
            <w:tcW w:w="607" w:type="dxa"/>
            <w:gridSpan w:val="4"/>
          </w:tcPr>
          <w:p w:rsidR="00947463" w:rsidRDefault="00947463">
            <w:pPr>
              <w:pStyle w:val="TableText"/>
            </w:pPr>
          </w:p>
        </w:tc>
        <w:tc>
          <w:tcPr>
            <w:tcW w:w="606" w:type="dxa"/>
            <w:gridSpan w:val="3"/>
          </w:tcPr>
          <w:p w:rsidR="00947463" w:rsidRDefault="00947463">
            <w:pPr>
              <w:pStyle w:val="TableText"/>
            </w:pPr>
          </w:p>
        </w:tc>
        <w:tc>
          <w:tcPr>
            <w:tcW w:w="606" w:type="dxa"/>
          </w:tcPr>
          <w:p w:rsidR="00947463" w:rsidRDefault="00947463">
            <w:pPr>
              <w:pStyle w:val="TableText"/>
            </w:pPr>
          </w:p>
        </w:tc>
        <w:tc>
          <w:tcPr>
            <w:tcW w:w="4518" w:type="dxa"/>
            <w:gridSpan w:val="2"/>
          </w:tcPr>
          <w:p w:rsidR="00947463" w:rsidRPr="00947463" w:rsidRDefault="00947463" w:rsidP="00947463">
            <w:pPr>
              <w:pStyle w:val="TableBlock"/>
              <w:numPr>
                <w:ilvl w:val="0"/>
                <w:numId w:val="5"/>
              </w:numPr>
              <w:rPr>
                <w:rtl/>
              </w:rPr>
            </w:pPr>
            <w:r w:rsidRPr="00947463">
              <w:rPr>
                <w:rtl/>
              </w:rPr>
              <w:t>הוראות סעיף זה יחולו גם לענ</w:t>
            </w:r>
            <w:r>
              <w:rPr>
                <w:rFonts w:hint="cs"/>
                <w:rtl/>
              </w:rPr>
              <w:t>י</w:t>
            </w:r>
            <w:r w:rsidRPr="00947463">
              <w:rPr>
                <w:rtl/>
              </w:rPr>
              <w:t>ין מכירה ומתן שירותי בניה, כאמור בסעיף קטן (ב), במתחם להתחדשות עירונית, כהגדרתו בסעיף 49ל(א)</w:t>
            </w:r>
          </w:p>
        </w:tc>
      </w:tr>
      <w:tr w:rsidR="00947463" w:rsidTr="00095D53">
        <w:trPr>
          <w:gridAfter w:val="3"/>
          <w:wAfter w:w="267" w:type="dxa"/>
          <w:cantSplit/>
          <w:trHeight w:val="60"/>
        </w:trPr>
        <w:tc>
          <w:tcPr>
            <w:tcW w:w="1820" w:type="dxa"/>
          </w:tcPr>
          <w:p w:rsidR="00947463" w:rsidRDefault="00947463">
            <w:pPr>
              <w:pStyle w:val="TableSideHeading"/>
            </w:pPr>
          </w:p>
        </w:tc>
        <w:tc>
          <w:tcPr>
            <w:tcW w:w="608" w:type="dxa"/>
            <w:gridSpan w:val="3"/>
          </w:tcPr>
          <w:p w:rsidR="00947463" w:rsidRDefault="00947463" w:rsidP="00947463">
            <w:pPr>
              <w:pStyle w:val="TableText"/>
            </w:pPr>
          </w:p>
        </w:tc>
        <w:tc>
          <w:tcPr>
            <w:tcW w:w="518" w:type="dxa"/>
            <w:gridSpan w:val="3"/>
          </w:tcPr>
          <w:p w:rsidR="00947463" w:rsidRDefault="00947463">
            <w:pPr>
              <w:pStyle w:val="TableText"/>
            </w:pPr>
          </w:p>
        </w:tc>
        <w:tc>
          <w:tcPr>
            <w:tcW w:w="607" w:type="dxa"/>
            <w:gridSpan w:val="4"/>
          </w:tcPr>
          <w:p w:rsidR="00947463" w:rsidRDefault="00947463">
            <w:pPr>
              <w:pStyle w:val="TableText"/>
            </w:pPr>
          </w:p>
        </w:tc>
        <w:tc>
          <w:tcPr>
            <w:tcW w:w="606" w:type="dxa"/>
            <w:gridSpan w:val="3"/>
          </w:tcPr>
          <w:p w:rsidR="00947463" w:rsidRDefault="00947463">
            <w:pPr>
              <w:pStyle w:val="TableText"/>
            </w:pPr>
          </w:p>
        </w:tc>
        <w:tc>
          <w:tcPr>
            <w:tcW w:w="606" w:type="dxa"/>
          </w:tcPr>
          <w:p w:rsidR="00947463" w:rsidRDefault="00947463">
            <w:pPr>
              <w:pStyle w:val="TableText"/>
            </w:pPr>
          </w:p>
        </w:tc>
        <w:tc>
          <w:tcPr>
            <w:tcW w:w="4518" w:type="dxa"/>
            <w:gridSpan w:val="2"/>
          </w:tcPr>
          <w:p w:rsidR="00947463" w:rsidRPr="00947463" w:rsidRDefault="00947463" w:rsidP="00947463">
            <w:pPr>
              <w:pStyle w:val="TableBlock"/>
              <w:numPr>
                <w:ilvl w:val="0"/>
                <w:numId w:val="5"/>
              </w:numPr>
              <w:rPr>
                <w:rtl/>
              </w:rPr>
            </w:pPr>
            <w:r w:rsidRPr="00947463">
              <w:rPr>
                <w:rtl/>
              </w:rPr>
              <w:t>שר האוצר, באישור ועדת הכספים של הכנסת, רשאי לקבוע כללים והוראות לענ</w:t>
            </w:r>
            <w:r>
              <w:rPr>
                <w:rFonts w:hint="cs"/>
                <w:rtl/>
              </w:rPr>
              <w:t>י</w:t>
            </w:r>
            <w:r w:rsidRPr="00947463">
              <w:rPr>
                <w:rtl/>
              </w:rPr>
              <w:t>ין סעיף זה.</w:t>
            </w:r>
          </w:p>
        </w:tc>
      </w:tr>
      <w:tr w:rsidR="00947463" w:rsidTr="00095D53">
        <w:trPr>
          <w:gridAfter w:val="3"/>
          <w:wAfter w:w="267" w:type="dxa"/>
          <w:cantSplit/>
          <w:trHeight w:val="60"/>
        </w:trPr>
        <w:tc>
          <w:tcPr>
            <w:tcW w:w="1820" w:type="dxa"/>
          </w:tcPr>
          <w:p w:rsidR="00947463" w:rsidRDefault="00947463">
            <w:pPr>
              <w:pStyle w:val="TableSideHeading"/>
            </w:pPr>
          </w:p>
        </w:tc>
        <w:tc>
          <w:tcPr>
            <w:tcW w:w="608" w:type="dxa"/>
            <w:gridSpan w:val="3"/>
          </w:tcPr>
          <w:p w:rsidR="00947463" w:rsidRDefault="00947463" w:rsidP="00947463">
            <w:pPr>
              <w:pStyle w:val="TableText"/>
            </w:pPr>
          </w:p>
        </w:tc>
        <w:tc>
          <w:tcPr>
            <w:tcW w:w="518" w:type="dxa"/>
            <w:gridSpan w:val="3"/>
          </w:tcPr>
          <w:p w:rsidR="00947463" w:rsidRDefault="00947463">
            <w:pPr>
              <w:pStyle w:val="TableText"/>
            </w:pPr>
          </w:p>
        </w:tc>
        <w:tc>
          <w:tcPr>
            <w:tcW w:w="607" w:type="dxa"/>
            <w:gridSpan w:val="4"/>
          </w:tcPr>
          <w:p w:rsidR="00947463" w:rsidRDefault="00947463">
            <w:pPr>
              <w:pStyle w:val="TableText"/>
            </w:pPr>
          </w:p>
        </w:tc>
        <w:tc>
          <w:tcPr>
            <w:tcW w:w="606" w:type="dxa"/>
            <w:gridSpan w:val="3"/>
          </w:tcPr>
          <w:p w:rsidR="00947463" w:rsidRDefault="00947463">
            <w:pPr>
              <w:pStyle w:val="TableText"/>
            </w:pPr>
          </w:p>
        </w:tc>
        <w:tc>
          <w:tcPr>
            <w:tcW w:w="606" w:type="dxa"/>
          </w:tcPr>
          <w:p w:rsidR="00947463" w:rsidRDefault="00947463">
            <w:pPr>
              <w:pStyle w:val="TableText"/>
            </w:pPr>
          </w:p>
        </w:tc>
        <w:tc>
          <w:tcPr>
            <w:tcW w:w="4518" w:type="dxa"/>
            <w:gridSpan w:val="2"/>
          </w:tcPr>
          <w:p w:rsidR="00947463" w:rsidRPr="00947463" w:rsidRDefault="00947463" w:rsidP="00947463">
            <w:pPr>
              <w:pStyle w:val="TableBlock"/>
              <w:numPr>
                <w:ilvl w:val="0"/>
                <w:numId w:val="5"/>
              </w:numPr>
              <w:rPr>
                <w:rtl/>
              </w:rPr>
            </w:pPr>
            <w:r w:rsidRPr="00947463">
              <w:rPr>
                <w:rtl/>
              </w:rPr>
              <w:t>הוראות סעיף 49כט לחוק מיסוי מקרקעין יחולו לענ</w:t>
            </w:r>
            <w:r>
              <w:rPr>
                <w:rFonts w:hint="cs"/>
                <w:rtl/>
              </w:rPr>
              <w:t>י</w:t>
            </w:r>
            <w:r w:rsidRPr="00947463">
              <w:rPr>
                <w:rtl/>
              </w:rPr>
              <w:t>ין סעיף זה בשינויים המחויבים.</w:t>
            </w:r>
            <w:r w:rsidR="00DD1803">
              <w:rPr>
                <w:rFonts w:hint="cs"/>
                <w:rtl/>
              </w:rPr>
              <w:t>''</w:t>
            </w:r>
          </w:p>
        </w:tc>
      </w:tr>
      <w:tr w:rsidR="00947463" w:rsidTr="00095D53">
        <w:trPr>
          <w:gridAfter w:val="3"/>
          <w:wAfter w:w="267" w:type="dxa"/>
          <w:cantSplit/>
          <w:trHeight w:val="60"/>
        </w:trPr>
        <w:tc>
          <w:tcPr>
            <w:tcW w:w="1820" w:type="dxa"/>
          </w:tcPr>
          <w:p w:rsidR="00947463" w:rsidRDefault="00947463">
            <w:pPr>
              <w:pStyle w:val="TableSideHeading"/>
              <w:keepLines w:val="0"/>
            </w:pPr>
          </w:p>
        </w:tc>
        <w:tc>
          <w:tcPr>
            <w:tcW w:w="608" w:type="dxa"/>
            <w:gridSpan w:val="3"/>
          </w:tcPr>
          <w:p w:rsidR="00947463" w:rsidRDefault="00947463">
            <w:pPr>
              <w:pStyle w:val="TableText"/>
              <w:keepLines w:val="0"/>
            </w:pPr>
          </w:p>
        </w:tc>
        <w:tc>
          <w:tcPr>
            <w:tcW w:w="1731" w:type="dxa"/>
            <w:gridSpan w:val="10"/>
          </w:tcPr>
          <w:p w:rsidR="00947463" w:rsidRDefault="00947463">
            <w:pPr>
              <w:pStyle w:val="TableInnerSideHeading"/>
            </w:pPr>
            <w:r>
              <w:rPr>
                <w:rFonts w:hint="cs"/>
                <w:rtl/>
              </w:rPr>
              <w:t xml:space="preserve">מתן שירותי בניה לפי תכנית חיזוק </w:t>
            </w:r>
            <w:r>
              <w:rPr>
                <w:rtl/>
              </w:rPr>
              <w:t>–</w:t>
            </w:r>
            <w:r>
              <w:rPr>
                <w:rFonts w:hint="cs"/>
                <w:rtl/>
              </w:rPr>
              <w:t xml:space="preserve"> הוראות מיוחדות</w:t>
            </w:r>
          </w:p>
        </w:tc>
        <w:tc>
          <w:tcPr>
            <w:tcW w:w="606" w:type="dxa"/>
          </w:tcPr>
          <w:p w:rsidR="00947463" w:rsidRPr="00947463" w:rsidRDefault="00947463">
            <w:pPr>
              <w:pStyle w:val="TableText"/>
            </w:pPr>
            <w:r>
              <w:rPr>
                <w:rFonts w:hint="cs"/>
                <w:rtl/>
              </w:rPr>
              <w:t>30ב</w:t>
            </w:r>
          </w:p>
        </w:tc>
        <w:tc>
          <w:tcPr>
            <w:tcW w:w="4518" w:type="dxa"/>
            <w:gridSpan w:val="2"/>
          </w:tcPr>
          <w:p w:rsidR="00947463" w:rsidRDefault="00947463" w:rsidP="00947463">
            <w:pPr>
              <w:pStyle w:val="TableBlock"/>
              <w:numPr>
                <w:ilvl w:val="0"/>
                <w:numId w:val="6"/>
              </w:numPr>
              <w:tabs>
                <w:tab w:val="left" w:pos="624"/>
              </w:tabs>
            </w:pPr>
            <w:r w:rsidRPr="00947463">
              <w:rPr>
                <w:rtl/>
              </w:rPr>
              <w:t>למונחים המופיעים בסעיף זה תהא המשמעות הנודעת להם בפרק חמישי 5 לחוק מיסוי מקרקעין (שבח ורכישה), התשכ"ג-1963 (בסעיף זה - חוק מיסוי מקרקעין).</w:t>
            </w:r>
          </w:p>
        </w:tc>
      </w:tr>
      <w:tr w:rsidR="00947463" w:rsidTr="00095D53">
        <w:trPr>
          <w:gridAfter w:val="3"/>
          <w:wAfter w:w="267" w:type="dxa"/>
          <w:cantSplit/>
          <w:trHeight w:val="60"/>
        </w:trPr>
        <w:tc>
          <w:tcPr>
            <w:tcW w:w="1820" w:type="dxa"/>
          </w:tcPr>
          <w:p w:rsidR="00947463" w:rsidRDefault="00947463">
            <w:pPr>
              <w:pStyle w:val="TableSideHeading"/>
            </w:pPr>
          </w:p>
        </w:tc>
        <w:tc>
          <w:tcPr>
            <w:tcW w:w="608" w:type="dxa"/>
            <w:gridSpan w:val="3"/>
          </w:tcPr>
          <w:p w:rsidR="00947463" w:rsidRDefault="00947463">
            <w:pPr>
              <w:pStyle w:val="TableText"/>
            </w:pPr>
          </w:p>
        </w:tc>
        <w:tc>
          <w:tcPr>
            <w:tcW w:w="518" w:type="dxa"/>
            <w:gridSpan w:val="3"/>
          </w:tcPr>
          <w:p w:rsidR="00947463" w:rsidRDefault="00947463">
            <w:pPr>
              <w:pStyle w:val="TableText"/>
            </w:pPr>
          </w:p>
        </w:tc>
        <w:tc>
          <w:tcPr>
            <w:tcW w:w="607" w:type="dxa"/>
            <w:gridSpan w:val="4"/>
          </w:tcPr>
          <w:p w:rsidR="00947463" w:rsidRDefault="00947463">
            <w:pPr>
              <w:pStyle w:val="TableText"/>
            </w:pPr>
          </w:p>
        </w:tc>
        <w:tc>
          <w:tcPr>
            <w:tcW w:w="606" w:type="dxa"/>
            <w:gridSpan w:val="3"/>
          </w:tcPr>
          <w:p w:rsidR="00947463" w:rsidRDefault="00947463">
            <w:pPr>
              <w:pStyle w:val="TableText"/>
            </w:pPr>
          </w:p>
        </w:tc>
        <w:tc>
          <w:tcPr>
            <w:tcW w:w="606" w:type="dxa"/>
          </w:tcPr>
          <w:p w:rsidR="00947463" w:rsidRDefault="00947463">
            <w:pPr>
              <w:pStyle w:val="TableText"/>
            </w:pPr>
          </w:p>
        </w:tc>
        <w:tc>
          <w:tcPr>
            <w:tcW w:w="4518" w:type="dxa"/>
            <w:gridSpan w:val="2"/>
          </w:tcPr>
          <w:p w:rsidR="00947463" w:rsidRDefault="00947463" w:rsidP="00947463">
            <w:pPr>
              <w:pStyle w:val="TableBlock"/>
              <w:numPr>
                <w:ilvl w:val="0"/>
                <w:numId w:val="6"/>
              </w:numPr>
              <w:tabs>
                <w:tab w:val="left" w:pos="624"/>
              </w:tabs>
            </w:pPr>
            <w:r w:rsidRPr="00947463">
              <w:rPr>
                <w:rtl/>
              </w:rPr>
              <w:t>מתן שירותי בניה לפי תכנית החיזוק בתמורה למכירת הזכות הנמכרת הפטורה ממס בהתאם להוראות</w:t>
            </w:r>
            <w:r>
              <w:rPr>
                <w:rFonts w:hint="cs"/>
                <w:rtl/>
              </w:rPr>
              <w:t xml:space="preserve"> סעיפים 49לג ו-49לג1 לחוק מיסוי מקרקעין </w:t>
            </w:r>
            <w:r>
              <w:rPr>
                <w:rtl/>
              </w:rPr>
              <w:t>–</w:t>
            </w:r>
            <w:r>
              <w:rPr>
                <w:rFonts w:hint="cs"/>
                <w:rtl/>
              </w:rPr>
              <w:t xml:space="preserve"> יהיה חייב במס בשיעור אפס</w:t>
            </w:r>
          </w:p>
        </w:tc>
      </w:tr>
      <w:tr w:rsidR="00947463" w:rsidTr="00095D53">
        <w:trPr>
          <w:gridAfter w:val="3"/>
          <w:wAfter w:w="267" w:type="dxa"/>
          <w:cantSplit/>
          <w:trHeight w:val="60"/>
        </w:trPr>
        <w:tc>
          <w:tcPr>
            <w:tcW w:w="1820" w:type="dxa"/>
          </w:tcPr>
          <w:p w:rsidR="00947463" w:rsidRDefault="00947463">
            <w:pPr>
              <w:pStyle w:val="TableSideHeading"/>
            </w:pPr>
          </w:p>
        </w:tc>
        <w:tc>
          <w:tcPr>
            <w:tcW w:w="608" w:type="dxa"/>
            <w:gridSpan w:val="3"/>
          </w:tcPr>
          <w:p w:rsidR="00947463" w:rsidRDefault="00947463" w:rsidP="00947463">
            <w:pPr>
              <w:pStyle w:val="TableText"/>
            </w:pPr>
          </w:p>
        </w:tc>
        <w:tc>
          <w:tcPr>
            <w:tcW w:w="518" w:type="dxa"/>
            <w:gridSpan w:val="3"/>
          </w:tcPr>
          <w:p w:rsidR="00947463" w:rsidRDefault="00947463">
            <w:pPr>
              <w:pStyle w:val="TableText"/>
            </w:pPr>
          </w:p>
        </w:tc>
        <w:tc>
          <w:tcPr>
            <w:tcW w:w="607" w:type="dxa"/>
            <w:gridSpan w:val="4"/>
          </w:tcPr>
          <w:p w:rsidR="00947463" w:rsidRDefault="00947463">
            <w:pPr>
              <w:pStyle w:val="TableText"/>
            </w:pPr>
          </w:p>
        </w:tc>
        <w:tc>
          <w:tcPr>
            <w:tcW w:w="606" w:type="dxa"/>
            <w:gridSpan w:val="3"/>
          </w:tcPr>
          <w:p w:rsidR="00947463" w:rsidRDefault="00947463">
            <w:pPr>
              <w:pStyle w:val="TableText"/>
            </w:pPr>
          </w:p>
        </w:tc>
        <w:tc>
          <w:tcPr>
            <w:tcW w:w="606" w:type="dxa"/>
          </w:tcPr>
          <w:p w:rsidR="00947463" w:rsidRDefault="00947463">
            <w:pPr>
              <w:pStyle w:val="TableText"/>
            </w:pPr>
          </w:p>
        </w:tc>
        <w:tc>
          <w:tcPr>
            <w:tcW w:w="4518" w:type="dxa"/>
            <w:gridSpan w:val="2"/>
          </w:tcPr>
          <w:p w:rsidR="00947463" w:rsidRPr="00947463" w:rsidRDefault="00947463" w:rsidP="00947463">
            <w:pPr>
              <w:pStyle w:val="TableBlock"/>
              <w:numPr>
                <w:ilvl w:val="0"/>
                <w:numId w:val="6"/>
              </w:numPr>
              <w:rPr>
                <w:rtl/>
              </w:rPr>
            </w:pPr>
            <w:r w:rsidRPr="00947463">
              <w:rPr>
                <w:rtl/>
              </w:rPr>
              <w:t>שר האוצר, באישור ועדת הכספים של הכנסת, רשאי לקבוע כללים והוראות לעניין סעיף זה</w:t>
            </w:r>
            <w:r w:rsidR="00E46731">
              <w:rPr>
                <w:rFonts w:hint="cs"/>
                <w:rtl/>
              </w:rPr>
              <w:t>"</w:t>
            </w:r>
            <w:r w:rsidRPr="00947463">
              <w:rPr>
                <w:rtl/>
              </w:rPr>
              <w:t>.</w:t>
            </w:r>
          </w:p>
        </w:tc>
      </w:tr>
      <w:tr w:rsidR="002C22F2" w:rsidTr="00095D53">
        <w:trPr>
          <w:gridAfter w:val="3"/>
          <w:wAfter w:w="267" w:type="dxa"/>
          <w:cantSplit/>
          <w:trHeight w:val="60"/>
        </w:trPr>
        <w:tc>
          <w:tcPr>
            <w:tcW w:w="1820" w:type="dxa"/>
          </w:tcPr>
          <w:p w:rsidR="002C22F2" w:rsidRDefault="00CC7927" w:rsidP="00113336">
            <w:pPr>
              <w:pStyle w:val="TableSideHeading"/>
              <w:keepLines w:val="0"/>
            </w:pPr>
            <w:r>
              <w:rPr>
                <w:rFonts w:hint="cs"/>
                <w:rtl/>
              </w:rPr>
              <w:t>ביטול סעיפים 31א. ו-31ב.</w:t>
            </w:r>
          </w:p>
        </w:tc>
        <w:tc>
          <w:tcPr>
            <w:tcW w:w="608" w:type="dxa"/>
            <w:gridSpan w:val="3"/>
          </w:tcPr>
          <w:p w:rsidR="002C22F2" w:rsidRDefault="002C22F2" w:rsidP="002C22F2">
            <w:pPr>
              <w:pStyle w:val="TableText"/>
              <w:keepLines w:val="0"/>
              <w:numPr>
                <w:ilvl w:val="0"/>
                <w:numId w:val="1"/>
              </w:numPr>
            </w:pPr>
          </w:p>
        </w:tc>
        <w:tc>
          <w:tcPr>
            <w:tcW w:w="6855" w:type="dxa"/>
            <w:gridSpan w:val="13"/>
          </w:tcPr>
          <w:p w:rsidR="002C22F2" w:rsidRPr="00C34DE2" w:rsidRDefault="002C22F2" w:rsidP="00113336">
            <w:pPr>
              <w:pStyle w:val="TableBlock"/>
              <w:keepLines w:val="0"/>
            </w:pPr>
            <w:r>
              <w:rPr>
                <w:rFonts w:hint="cs"/>
                <w:rtl/>
              </w:rPr>
              <w:t xml:space="preserve">סעיפים 31א ו-31ב </w:t>
            </w:r>
            <w:r w:rsidR="00BF6FF2">
              <w:rPr>
                <w:rFonts w:hint="cs"/>
                <w:rtl/>
              </w:rPr>
              <w:t xml:space="preserve">לחוק העיקרי </w:t>
            </w:r>
            <w:r w:rsidR="00225D1A">
              <w:rPr>
                <w:rtl/>
              </w:rPr>
              <w:t>–</w:t>
            </w:r>
            <w:r>
              <w:rPr>
                <w:rFonts w:hint="cs"/>
                <w:rtl/>
              </w:rPr>
              <w:t xml:space="preserve"> בטלים</w:t>
            </w:r>
            <w:r w:rsidR="00E46731">
              <w:rPr>
                <w:rFonts w:hint="cs"/>
                <w:rtl/>
              </w:rPr>
              <w:t>.</w:t>
            </w:r>
          </w:p>
        </w:tc>
      </w:tr>
      <w:tr w:rsidR="00F95522" w:rsidTr="00095D53">
        <w:trPr>
          <w:gridAfter w:val="3"/>
          <w:wAfter w:w="267" w:type="dxa"/>
          <w:cantSplit/>
          <w:trHeight w:val="60"/>
        </w:trPr>
        <w:tc>
          <w:tcPr>
            <w:tcW w:w="1820" w:type="dxa"/>
          </w:tcPr>
          <w:p w:rsidR="00F95522" w:rsidRDefault="00CC7927" w:rsidP="00113336">
            <w:pPr>
              <w:pStyle w:val="TableSideHeading"/>
              <w:keepLines w:val="0"/>
            </w:pPr>
            <w:r>
              <w:rPr>
                <w:rFonts w:hint="cs"/>
                <w:rtl/>
              </w:rPr>
              <w:t>הוספת סעיף 43ג.</w:t>
            </w:r>
          </w:p>
        </w:tc>
        <w:tc>
          <w:tcPr>
            <w:tcW w:w="608" w:type="dxa"/>
            <w:gridSpan w:val="3"/>
          </w:tcPr>
          <w:p w:rsidR="00F95522" w:rsidRDefault="00F95522" w:rsidP="00F95522">
            <w:pPr>
              <w:pStyle w:val="TableText"/>
              <w:keepLines w:val="0"/>
              <w:numPr>
                <w:ilvl w:val="0"/>
                <w:numId w:val="1"/>
              </w:numPr>
            </w:pPr>
          </w:p>
        </w:tc>
        <w:tc>
          <w:tcPr>
            <w:tcW w:w="6855" w:type="dxa"/>
            <w:gridSpan w:val="13"/>
          </w:tcPr>
          <w:p w:rsidR="00F95522" w:rsidRPr="00C34DE2" w:rsidRDefault="00F95522" w:rsidP="00113336">
            <w:pPr>
              <w:pStyle w:val="TableBlock"/>
              <w:keepLines w:val="0"/>
              <w:rPr>
                <w:rtl/>
              </w:rPr>
            </w:pPr>
            <w:r>
              <w:rPr>
                <w:rFonts w:hint="cs"/>
                <w:rtl/>
              </w:rPr>
              <w:t xml:space="preserve">אחרי סעיף 43ב </w:t>
            </w:r>
            <w:r w:rsidR="00BF6FF2">
              <w:rPr>
                <w:rFonts w:hint="cs"/>
                <w:rtl/>
              </w:rPr>
              <w:t xml:space="preserve">לחוק העיקרי </w:t>
            </w:r>
            <w:r>
              <w:rPr>
                <w:rFonts w:hint="cs"/>
                <w:rtl/>
              </w:rPr>
              <w:t>יבוא:</w:t>
            </w:r>
          </w:p>
        </w:tc>
      </w:tr>
      <w:tr w:rsidR="00F95522" w:rsidTr="00095D53">
        <w:trPr>
          <w:gridAfter w:val="3"/>
          <w:wAfter w:w="267" w:type="dxa"/>
          <w:cantSplit/>
          <w:trHeight w:val="60"/>
        </w:trPr>
        <w:tc>
          <w:tcPr>
            <w:tcW w:w="1820" w:type="dxa"/>
          </w:tcPr>
          <w:p w:rsidR="00BF583B" w:rsidRPr="00DB3A4C" w:rsidRDefault="00BF583B">
            <w:pPr>
              <w:pStyle w:val="TableSideHeading"/>
              <w:keepLines w:val="0"/>
              <w:rPr>
                <w:szCs w:val="20"/>
                <w:rtl/>
              </w:rPr>
            </w:pPr>
          </w:p>
          <w:p w:rsidR="00BF583B" w:rsidRDefault="00BF583B">
            <w:pPr>
              <w:pStyle w:val="TableSideHeading"/>
              <w:keepLines w:val="0"/>
            </w:pPr>
          </w:p>
        </w:tc>
        <w:tc>
          <w:tcPr>
            <w:tcW w:w="608" w:type="dxa"/>
            <w:gridSpan w:val="3"/>
          </w:tcPr>
          <w:p w:rsidR="00F95522" w:rsidRDefault="00F95522">
            <w:pPr>
              <w:pStyle w:val="TableText"/>
              <w:keepLines w:val="0"/>
            </w:pPr>
          </w:p>
        </w:tc>
        <w:tc>
          <w:tcPr>
            <w:tcW w:w="1731" w:type="dxa"/>
            <w:gridSpan w:val="10"/>
          </w:tcPr>
          <w:p w:rsidR="00F95522" w:rsidRDefault="00F95522" w:rsidP="005B1390">
            <w:pPr>
              <w:pStyle w:val="TableInnerSideHeading"/>
            </w:pPr>
            <w:r>
              <w:rPr>
                <w:rFonts w:hint="cs"/>
                <w:rtl/>
              </w:rPr>
              <w:t xml:space="preserve">"החזר בגין חוב </w:t>
            </w:r>
            <w:r w:rsidR="005B1390">
              <w:rPr>
                <w:rFonts w:hint="cs"/>
                <w:rtl/>
              </w:rPr>
              <w:t>אבוד</w:t>
            </w:r>
          </w:p>
        </w:tc>
        <w:tc>
          <w:tcPr>
            <w:tcW w:w="606" w:type="dxa"/>
          </w:tcPr>
          <w:p w:rsidR="00F95522" w:rsidRDefault="00F95522">
            <w:pPr>
              <w:pStyle w:val="TableText"/>
            </w:pPr>
            <w:r>
              <w:rPr>
                <w:rFonts w:hint="cs"/>
                <w:rtl/>
              </w:rPr>
              <w:t>43ג.</w:t>
            </w:r>
          </w:p>
        </w:tc>
        <w:tc>
          <w:tcPr>
            <w:tcW w:w="4518" w:type="dxa"/>
            <w:gridSpan w:val="2"/>
          </w:tcPr>
          <w:p w:rsidR="00F83B22" w:rsidRDefault="00977598" w:rsidP="00095D53">
            <w:pPr>
              <w:pStyle w:val="TableBlock"/>
              <w:numPr>
                <w:ilvl w:val="0"/>
                <w:numId w:val="20"/>
              </w:numPr>
              <w:tabs>
                <w:tab w:val="left" w:pos="624"/>
              </w:tabs>
            </w:pPr>
            <w:r w:rsidRPr="00977598">
              <w:rPr>
                <w:rtl/>
              </w:rPr>
              <w:t xml:space="preserve">עוסק אשר שילם מס </w:t>
            </w:r>
            <w:r w:rsidR="007F2E35">
              <w:rPr>
                <w:rFonts w:hint="cs"/>
                <w:rtl/>
              </w:rPr>
              <w:t>ש</w:t>
            </w:r>
            <w:r w:rsidRPr="00977598">
              <w:rPr>
                <w:rtl/>
              </w:rPr>
              <w:t xml:space="preserve">בו היה חייב בשל </w:t>
            </w:r>
            <w:r w:rsidR="00E3362E">
              <w:rPr>
                <w:rFonts w:hint="cs"/>
                <w:rtl/>
              </w:rPr>
              <w:t>עסקה</w:t>
            </w:r>
            <w:r w:rsidR="005B1390">
              <w:rPr>
                <w:rtl/>
              </w:rPr>
              <w:t xml:space="preserve"> </w:t>
            </w:r>
            <w:r w:rsidR="00E3362E">
              <w:rPr>
                <w:rFonts w:hint="cs"/>
                <w:rtl/>
              </w:rPr>
              <w:t>שנוצר לגביה</w:t>
            </w:r>
            <w:r w:rsidR="005B1390">
              <w:rPr>
                <w:rFonts w:hint="cs"/>
                <w:rtl/>
              </w:rPr>
              <w:t xml:space="preserve"> </w:t>
            </w:r>
            <w:r w:rsidR="005B1390">
              <w:rPr>
                <w:rtl/>
              </w:rPr>
              <w:t xml:space="preserve">חוב </w:t>
            </w:r>
            <w:r w:rsidR="005B1390">
              <w:rPr>
                <w:rFonts w:hint="cs"/>
                <w:rtl/>
              </w:rPr>
              <w:t>אבוד</w:t>
            </w:r>
            <w:r w:rsidRPr="00977598">
              <w:rPr>
                <w:rtl/>
              </w:rPr>
              <w:t xml:space="preserve">, יהיה זכאי </w:t>
            </w:r>
            <w:r w:rsidR="00DB3A4C">
              <w:rPr>
                <w:rFonts w:hint="cs"/>
                <w:rtl/>
              </w:rPr>
              <w:t>ב</w:t>
            </w:r>
            <w:r w:rsidR="00407090">
              <w:rPr>
                <w:rFonts w:hint="cs"/>
                <w:rtl/>
              </w:rPr>
              <w:t xml:space="preserve">תקופה שתחילתה בחלוף </w:t>
            </w:r>
            <w:r w:rsidR="00791A85">
              <w:rPr>
                <w:rFonts w:hint="cs"/>
                <w:rtl/>
              </w:rPr>
              <w:t>ש</w:t>
            </w:r>
            <w:r w:rsidR="00122107">
              <w:rPr>
                <w:rFonts w:hint="cs"/>
                <w:rtl/>
              </w:rPr>
              <w:t>י</w:t>
            </w:r>
            <w:r w:rsidR="00791A85">
              <w:rPr>
                <w:rFonts w:hint="cs"/>
                <w:rtl/>
              </w:rPr>
              <w:t xml:space="preserve">שה חודשים </w:t>
            </w:r>
            <w:r w:rsidR="00A63E35">
              <w:rPr>
                <w:rFonts w:hint="cs"/>
                <w:rtl/>
              </w:rPr>
              <w:t>מ</w:t>
            </w:r>
            <w:r w:rsidR="00BB7BAA">
              <w:rPr>
                <w:rFonts w:hint="cs"/>
                <w:rtl/>
              </w:rPr>
              <w:t>ן ה</w:t>
            </w:r>
            <w:r w:rsidR="00A63E35">
              <w:rPr>
                <w:rFonts w:hint="cs"/>
                <w:rtl/>
              </w:rPr>
              <w:t>מועד</w:t>
            </w:r>
            <w:r w:rsidR="00791A85">
              <w:rPr>
                <w:rFonts w:hint="cs"/>
                <w:rtl/>
              </w:rPr>
              <w:t xml:space="preserve"> </w:t>
            </w:r>
            <w:r w:rsidR="007F2E35">
              <w:rPr>
                <w:rFonts w:hint="cs"/>
                <w:rtl/>
              </w:rPr>
              <w:t>ש</w:t>
            </w:r>
            <w:r w:rsidR="005B1390">
              <w:rPr>
                <w:rFonts w:hint="cs"/>
                <w:rtl/>
              </w:rPr>
              <w:t xml:space="preserve">בו </w:t>
            </w:r>
            <w:r w:rsidR="005B1390" w:rsidRPr="00503BCA">
              <w:rPr>
                <w:rFonts w:hint="cs"/>
                <w:rtl/>
              </w:rPr>
              <w:t>הוצאה החשבונית</w:t>
            </w:r>
            <w:r w:rsidR="005B1390">
              <w:rPr>
                <w:rFonts w:hint="cs"/>
                <w:rtl/>
              </w:rPr>
              <w:t xml:space="preserve"> על מכר או מתן שירות כאמור</w:t>
            </w:r>
            <w:r w:rsidR="00407090">
              <w:rPr>
                <w:rFonts w:hint="cs"/>
                <w:rtl/>
              </w:rPr>
              <w:t xml:space="preserve"> וסופה בתום שלוש שנים ממועד הוצאת החשבונית כאמור</w:t>
            </w:r>
            <w:r w:rsidR="00791A85">
              <w:rPr>
                <w:rFonts w:hint="cs"/>
                <w:rtl/>
              </w:rPr>
              <w:t xml:space="preserve">, </w:t>
            </w:r>
            <w:r w:rsidRPr="00977598">
              <w:rPr>
                <w:rtl/>
              </w:rPr>
              <w:t xml:space="preserve">להחזר סכום </w:t>
            </w:r>
            <w:r>
              <w:rPr>
                <w:rFonts w:hint="cs"/>
                <w:rtl/>
              </w:rPr>
              <w:t>השווה</w:t>
            </w:r>
            <w:r w:rsidRPr="00977598">
              <w:rPr>
                <w:rtl/>
              </w:rPr>
              <w:t xml:space="preserve"> </w:t>
            </w:r>
            <w:r>
              <w:rPr>
                <w:rFonts w:hint="cs"/>
                <w:rtl/>
              </w:rPr>
              <w:t xml:space="preserve">לסכום </w:t>
            </w:r>
            <w:r>
              <w:rPr>
                <w:rtl/>
              </w:rPr>
              <w:t>המס שש</w:t>
            </w:r>
            <w:r>
              <w:rPr>
                <w:rFonts w:hint="cs"/>
                <w:rtl/>
              </w:rPr>
              <w:t>ו</w:t>
            </w:r>
            <w:r w:rsidRPr="00977598">
              <w:rPr>
                <w:rtl/>
              </w:rPr>
              <w:t>לם</w:t>
            </w:r>
            <w:r w:rsidR="00452480">
              <w:rPr>
                <w:rFonts w:hint="cs"/>
                <w:rtl/>
              </w:rPr>
              <w:t xml:space="preserve"> ובלבד שהודיע על כך </w:t>
            </w:r>
            <w:r w:rsidR="005B71AB">
              <w:rPr>
                <w:rFonts w:hint="cs"/>
                <w:rtl/>
              </w:rPr>
              <w:t xml:space="preserve">למנהל </w:t>
            </w:r>
            <w:r w:rsidR="00452480">
              <w:rPr>
                <w:rFonts w:hint="cs"/>
                <w:rtl/>
              </w:rPr>
              <w:t>בדרך שקבע שר האוצר</w:t>
            </w:r>
            <w:r w:rsidR="00095D53">
              <w:rPr>
                <w:rFonts w:hint="cs"/>
                <w:rtl/>
              </w:rPr>
              <w:t xml:space="preserve">; </w:t>
            </w:r>
            <w:r w:rsidR="00F83B22">
              <w:rPr>
                <w:rFonts w:hint="cs"/>
                <w:rtl/>
              </w:rPr>
              <w:t>לעניין סעיף זה, "חוב אבוד"-</w:t>
            </w:r>
            <w:r w:rsidR="00F83B22">
              <w:rPr>
                <w:rtl/>
              </w:rPr>
              <w:t xml:space="preserve"> </w:t>
            </w:r>
            <w:r w:rsidR="00F529E1">
              <w:rPr>
                <w:rFonts w:hint="cs"/>
                <w:rtl/>
              </w:rPr>
              <w:t xml:space="preserve">חוב שנוצר בשל אי קבלת תמורה בגין עסקה </w:t>
            </w:r>
            <w:r w:rsidR="007F2E35">
              <w:rPr>
                <w:rFonts w:hint="cs"/>
                <w:rtl/>
              </w:rPr>
              <w:t>ש</w:t>
            </w:r>
            <w:r w:rsidR="00F529E1">
              <w:rPr>
                <w:rFonts w:hint="cs"/>
                <w:rtl/>
              </w:rPr>
              <w:t>עליה שילם העוסק את סכום המס במלואו, ושהוכח להנחת דעתו של המנהל כי אינו בר גבייה, ובלבד שלגבי עסקה כאמור הוציא העוסק הודעת זיכוי כמשמעותה בהוראות ניהול פנקסים שנקבעו מכ</w:t>
            </w:r>
            <w:r w:rsidR="008613E3">
              <w:rPr>
                <w:rFonts w:hint="cs"/>
                <w:rtl/>
              </w:rPr>
              <w:t>ו</w:t>
            </w:r>
            <w:r w:rsidR="00F529E1">
              <w:rPr>
                <w:rFonts w:hint="cs"/>
                <w:rtl/>
              </w:rPr>
              <w:t>ח חוק זה</w:t>
            </w:r>
            <w:r w:rsidR="00F83B22">
              <w:rPr>
                <w:rFonts w:hint="cs"/>
                <w:rtl/>
              </w:rPr>
              <w:t>.</w:t>
            </w:r>
          </w:p>
        </w:tc>
      </w:tr>
      <w:tr w:rsidR="007160B9" w:rsidTr="00095D53">
        <w:trPr>
          <w:gridAfter w:val="3"/>
          <w:wAfter w:w="267" w:type="dxa"/>
          <w:cantSplit/>
          <w:trHeight w:val="60"/>
        </w:trPr>
        <w:tc>
          <w:tcPr>
            <w:tcW w:w="1820" w:type="dxa"/>
          </w:tcPr>
          <w:p w:rsidR="007160B9" w:rsidRDefault="007160B9">
            <w:pPr>
              <w:pStyle w:val="TableSideHeading"/>
            </w:pPr>
          </w:p>
        </w:tc>
        <w:tc>
          <w:tcPr>
            <w:tcW w:w="608" w:type="dxa"/>
            <w:gridSpan w:val="3"/>
          </w:tcPr>
          <w:p w:rsidR="007160B9" w:rsidRDefault="007160B9" w:rsidP="007160B9">
            <w:pPr>
              <w:pStyle w:val="TableText"/>
            </w:pPr>
          </w:p>
        </w:tc>
        <w:tc>
          <w:tcPr>
            <w:tcW w:w="518" w:type="dxa"/>
            <w:gridSpan w:val="3"/>
          </w:tcPr>
          <w:p w:rsidR="007160B9" w:rsidRDefault="007160B9">
            <w:pPr>
              <w:pStyle w:val="TableText"/>
            </w:pPr>
          </w:p>
        </w:tc>
        <w:tc>
          <w:tcPr>
            <w:tcW w:w="607" w:type="dxa"/>
            <w:gridSpan w:val="4"/>
          </w:tcPr>
          <w:p w:rsidR="007160B9" w:rsidRDefault="007160B9">
            <w:pPr>
              <w:pStyle w:val="TableText"/>
            </w:pPr>
          </w:p>
        </w:tc>
        <w:tc>
          <w:tcPr>
            <w:tcW w:w="606" w:type="dxa"/>
            <w:gridSpan w:val="3"/>
          </w:tcPr>
          <w:p w:rsidR="007160B9" w:rsidRDefault="007160B9">
            <w:pPr>
              <w:pStyle w:val="TableText"/>
            </w:pPr>
          </w:p>
        </w:tc>
        <w:tc>
          <w:tcPr>
            <w:tcW w:w="606" w:type="dxa"/>
          </w:tcPr>
          <w:p w:rsidR="007160B9" w:rsidRDefault="007160B9">
            <w:pPr>
              <w:pStyle w:val="TableText"/>
            </w:pPr>
          </w:p>
        </w:tc>
        <w:tc>
          <w:tcPr>
            <w:tcW w:w="4518" w:type="dxa"/>
            <w:gridSpan w:val="2"/>
          </w:tcPr>
          <w:p w:rsidR="007160B9" w:rsidRDefault="007160B9" w:rsidP="00503BCA">
            <w:pPr>
              <w:pStyle w:val="TableBlock"/>
              <w:numPr>
                <w:ilvl w:val="0"/>
                <w:numId w:val="20"/>
              </w:numPr>
              <w:tabs>
                <w:tab w:val="left" w:pos="624"/>
              </w:tabs>
              <w:rPr>
                <w:rtl/>
              </w:rPr>
            </w:pPr>
            <w:r>
              <w:rPr>
                <w:rFonts w:hint="cs"/>
                <w:rtl/>
              </w:rPr>
              <w:t>שר האוצר רשאי לקבוע תקנות לעניין</w:t>
            </w:r>
            <w:r w:rsidR="00784168">
              <w:rPr>
                <w:rFonts w:hint="cs"/>
                <w:rtl/>
              </w:rPr>
              <w:t xml:space="preserve"> - </w:t>
            </w:r>
            <w:r>
              <w:rPr>
                <w:rFonts w:hint="cs"/>
                <w:rtl/>
              </w:rPr>
              <w:t xml:space="preserve"> </w:t>
            </w:r>
          </w:p>
        </w:tc>
      </w:tr>
      <w:tr w:rsidR="00784168" w:rsidTr="00095D53">
        <w:trPr>
          <w:gridAfter w:val="3"/>
          <w:wAfter w:w="267" w:type="dxa"/>
          <w:cantSplit/>
          <w:trHeight w:val="60"/>
        </w:trPr>
        <w:tc>
          <w:tcPr>
            <w:tcW w:w="1820" w:type="dxa"/>
          </w:tcPr>
          <w:p w:rsidR="00784168" w:rsidRDefault="00784168">
            <w:pPr>
              <w:pStyle w:val="TableSideHeading"/>
            </w:pPr>
          </w:p>
        </w:tc>
        <w:tc>
          <w:tcPr>
            <w:tcW w:w="608" w:type="dxa"/>
            <w:gridSpan w:val="3"/>
          </w:tcPr>
          <w:p w:rsidR="00784168" w:rsidRDefault="00784168">
            <w:pPr>
              <w:pStyle w:val="TableText"/>
            </w:pPr>
          </w:p>
        </w:tc>
        <w:tc>
          <w:tcPr>
            <w:tcW w:w="518" w:type="dxa"/>
            <w:gridSpan w:val="3"/>
          </w:tcPr>
          <w:p w:rsidR="00784168" w:rsidRDefault="00784168">
            <w:pPr>
              <w:pStyle w:val="TableText"/>
            </w:pPr>
          </w:p>
        </w:tc>
        <w:tc>
          <w:tcPr>
            <w:tcW w:w="607" w:type="dxa"/>
            <w:gridSpan w:val="4"/>
          </w:tcPr>
          <w:p w:rsidR="00784168" w:rsidRDefault="00784168">
            <w:pPr>
              <w:pStyle w:val="TableText"/>
            </w:pPr>
          </w:p>
        </w:tc>
        <w:tc>
          <w:tcPr>
            <w:tcW w:w="606" w:type="dxa"/>
            <w:gridSpan w:val="3"/>
          </w:tcPr>
          <w:p w:rsidR="00784168" w:rsidRDefault="00784168">
            <w:pPr>
              <w:pStyle w:val="TableText"/>
            </w:pPr>
          </w:p>
        </w:tc>
        <w:tc>
          <w:tcPr>
            <w:tcW w:w="606" w:type="dxa"/>
          </w:tcPr>
          <w:p w:rsidR="00784168" w:rsidRDefault="00784168">
            <w:pPr>
              <w:pStyle w:val="TableText"/>
            </w:pPr>
          </w:p>
        </w:tc>
        <w:tc>
          <w:tcPr>
            <w:tcW w:w="606" w:type="dxa"/>
          </w:tcPr>
          <w:p w:rsidR="00784168" w:rsidRDefault="00784168">
            <w:pPr>
              <w:pStyle w:val="TableText"/>
            </w:pPr>
          </w:p>
        </w:tc>
        <w:tc>
          <w:tcPr>
            <w:tcW w:w="3912" w:type="dxa"/>
          </w:tcPr>
          <w:p w:rsidR="00784168" w:rsidRDefault="00784168" w:rsidP="001D49F6">
            <w:pPr>
              <w:pStyle w:val="TableBlock"/>
              <w:numPr>
                <w:ilvl w:val="0"/>
                <w:numId w:val="12"/>
              </w:numPr>
              <w:tabs>
                <w:tab w:val="left" w:pos="624"/>
              </w:tabs>
            </w:pPr>
            <w:r>
              <w:rPr>
                <w:rFonts w:hint="cs"/>
                <w:rtl/>
              </w:rPr>
              <w:t xml:space="preserve">דרך הגשת </w:t>
            </w:r>
            <w:r w:rsidR="00063844">
              <w:rPr>
                <w:rFonts w:hint="cs"/>
                <w:rtl/>
              </w:rPr>
              <w:t>הודעה</w:t>
            </w:r>
            <w:r>
              <w:rPr>
                <w:rFonts w:hint="cs"/>
                <w:rtl/>
              </w:rPr>
              <w:t xml:space="preserve"> </w:t>
            </w:r>
            <w:r w:rsidR="00063844">
              <w:rPr>
                <w:rFonts w:hint="cs"/>
                <w:rtl/>
              </w:rPr>
              <w:t>על זכות ל</w:t>
            </w:r>
            <w:r>
              <w:rPr>
                <w:rFonts w:hint="cs"/>
                <w:rtl/>
              </w:rPr>
              <w:t>החזר כאמור בסעיף זה</w:t>
            </w:r>
            <w:r w:rsidR="007F2E35">
              <w:rPr>
                <w:rFonts w:hint="cs"/>
                <w:rtl/>
              </w:rPr>
              <w:t>;</w:t>
            </w:r>
          </w:p>
        </w:tc>
      </w:tr>
      <w:tr w:rsidR="0075761B" w:rsidTr="00095D53">
        <w:trPr>
          <w:gridAfter w:val="3"/>
          <w:wAfter w:w="267" w:type="dxa"/>
          <w:cantSplit/>
          <w:trHeight w:val="60"/>
        </w:trPr>
        <w:tc>
          <w:tcPr>
            <w:tcW w:w="1820" w:type="dxa"/>
          </w:tcPr>
          <w:p w:rsidR="0075761B" w:rsidRDefault="0075761B">
            <w:pPr>
              <w:pStyle w:val="TableSideHeading"/>
            </w:pPr>
          </w:p>
        </w:tc>
        <w:tc>
          <w:tcPr>
            <w:tcW w:w="608" w:type="dxa"/>
            <w:gridSpan w:val="3"/>
          </w:tcPr>
          <w:p w:rsidR="0075761B" w:rsidRDefault="0075761B" w:rsidP="0075761B">
            <w:pPr>
              <w:pStyle w:val="TableText"/>
            </w:pPr>
          </w:p>
        </w:tc>
        <w:tc>
          <w:tcPr>
            <w:tcW w:w="518" w:type="dxa"/>
            <w:gridSpan w:val="3"/>
          </w:tcPr>
          <w:p w:rsidR="0075761B" w:rsidRDefault="0075761B">
            <w:pPr>
              <w:pStyle w:val="TableText"/>
            </w:pPr>
          </w:p>
        </w:tc>
        <w:tc>
          <w:tcPr>
            <w:tcW w:w="607" w:type="dxa"/>
            <w:gridSpan w:val="4"/>
          </w:tcPr>
          <w:p w:rsidR="0075761B" w:rsidRDefault="0075761B">
            <w:pPr>
              <w:pStyle w:val="TableText"/>
            </w:pPr>
          </w:p>
        </w:tc>
        <w:tc>
          <w:tcPr>
            <w:tcW w:w="606" w:type="dxa"/>
            <w:gridSpan w:val="3"/>
          </w:tcPr>
          <w:p w:rsidR="0075761B" w:rsidRDefault="0075761B">
            <w:pPr>
              <w:pStyle w:val="TableText"/>
            </w:pPr>
          </w:p>
        </w:tc>
        <w:tc>
          <w:tcPr>
            <w:tcW w:w="606" w:type="dxa"/>
          </w:tcPr>
          <w:p w:rsidR="0075761B" w:rsidRDefault="0075761B">
            <w:pPr>
              <w:pStyle w:val="TableText"/>
            </w:pPr>
          </w:p>
        </w:tc>
        <w:tc>
          <w:tcPr>
            <w:tcW w:w="606" w:type="dxa"/>
          </w:tcPr>
          <w:p w:rsidR="0075761B" w:rsidRDefault="0075761B">
            <w:pPr>
              <w:pStyle w:val="TableText"/>
            </w:pPr>
          </w:p>
        </w:tc>
        <w:tc>
          <w:tcPr>
            <w:tcW w:w="3912" w:type="dxa"/>
          </w:tcPr>
          <w:p w:rsidR="0075761B" w:rsidRDefault="0075761B" w:rsidP="00784168">
            <w:pPr>
              <w:pStyle w:val="TableBlock"/>
              <w:numPr>
                <w:ilvl w:val="0"/>
                <w:numId w:val="12"/>
              </w:numPr>
              <w:tabs>
                <w:tab w:val="left" w:pos="624"/>
              </w:tabs>
              <w:rPr>
                <w:rtl/>
              </w:rPr>
            </w:pPr>
            <w:r>
              <w:rPr>
                <w:rFonts w:hint="cs"/>
                <w:rtl/>
              </w:rPr>
              <w:t>פרקי זמן אשר לא יבואו במניין תקופת הזכאות</w:t>
            </w:r>
            <w:r w:rsidR="00E46731">
              <w:rPr>
                <w:rFonts w:hint="cs"/>
                <w:rtl/>
              </w:rPr>
              <w:t>".</w:t>
            </w:r>
          </w:p>
        </w:tc>
      </w:tr>
      <w:tr w:rsidR="0085608E" w:rsidTr="00095D53">
        <w:trPr>
          <w:gridAfter w:val="3"/>
          <w:wAfter w:w="267" w:type="dxa"/>
          <w:cantSplit/>
          <w:trHeight w:val="60"/>
        </w:trPr>
        <w:tc>
          <w:tcPr>
            <w:tcW w:w="1820" w:type="dxa"/>
          </w:tcPr>
          <w:p w:rsidR="0085608E" w:rsidRDefault="00CC7927" w:rsidP="00113336">
            <w:pPr>
              <w:pStyle w:val="TableSideHeading"/>
              <w:keepLines w:val="0"/>
            </w:pPr>
            <w:r>
              <w:rPr>
                <w:rFonts w:hint="cs"/>
                <w:rtl/>
              </w:rPr>
              <w:t>הוספת סעיף 87א.</w:t>
            </w:r>
          </w:p>
        </w:tc>
        <w:tc>
          <w:tcPr>
            <w:tcW w:w="608" w:type="dxa"/>
            <w:gridSpan w:val="3"/>
          </w:tcPr>
          <w:p w:rsidR="0085608E" w:rsidRDefault="0085608E" w:rsidP="0085608E">
            <w:pPr>
              <w:pStyle w:val="TableText"/>
              <w:keepLines w:val="0"/>
              <w:numPr>
                <w:ilvl w:val="0"/>
                <w:numId w:val="1"/>
              </w:numPr>
            </w:pPr>
          </w:p>
        </w:tc>
        <w:tc>
          <w:tcPr>
            <w:tcW w:w="6855" w:type="dxa"/>
            <w:gridSpan w:val="13"/>
          </w:tcPr>
          <w:p w:rsidR="0085608E" w:rsidRPr="00C34DE2" w:rsidRDefault="0085608E" w:rsidP="00113336">
            <w:pPr>
              <w:pStyle w:val="TableBlock"/>
              <w:keepLines w:val="0"/>
            </w:pPr>
            <w:r>
              <w:rPr>
                <w:rFonts w:hint="cs"/>
                <w:rtl/>
              </w:rPr>
              <w:t xml:space="preserve">אחרי סעיף 87 </w:t>
            </w:r>
            <w:r w:rsidR="00BF6FF2">
              <w:rPr>
                <w:rFonts w:hint="cs"/>
                <w:rtl/>
              </w:rPr>
              <w:t xml:space="preserve">לחוק העיקרי </w:t>
            </w:r>
            <w:r>
              <w:rPr>
                <w:rFonts w:hint="cs"/>
                <w:rtl/>
              </w:rPr>
              <w:t>יבוא</w:t>
            </w:r>
            <w:r>
              <w:t>:</w:t>
            </w:r>
          </w:p>
        </w:tc>
      </w:tr>
      <w:tr w:rsidR="0085608E" w:rsidTr="00095D53">
        <w:trPr>
          <w:gridAfter w:val="3"/>
          <w:wAfter w:w="267" w:type="dxa"/>
          <w:cantSplit/>
          <w:trHeight w:val="60"/>
        </w:trPr>
        <w:tc>
          <w:tcPr>
            <w:tcW w:w="1820" w:type="dxa"/>
          </w:tcPr>
          <w:p w:rsidR="0085608E" w:rsidRDefault="0085608E">
            <w:pPr>
              <w:pStyle w:val="TableSideHeading"/>
              <w:keepLines w:val="0"/>
            </w:pPr>
          </w:p>
        </w:tc>
        <w:tc>
          <w:tcPr>
            <w:tcW w:w="608" w:type="dxa"/>
            <w:gridSpan w:val="3"/>
          </w:tcPr>
          <w:p w:rsidR="0085608E" w:rsidRDefault="0085608E">
            <w:pPr>
              <w:pStyle w:val="TableText"/>
              <w:keepLines w:val="0"/>
            </w:pPr>
          </w:p>
        </w:tc>
        <w:tc>
          <w:tcPr>
            <w:tcW w:w="1731" w:type="dxa"/>
            <w:gridSpan w:val="10"/>
          </w:tcPr>
          <w:p w:rsidR="0085608E" w:rsidRDefault="0085608E">
            <w:pPr>
              <w:pStyle w:val="TableInnerSideHeading"/>
            </w:pPr>
            <w:r>
              <w:rPr>
                <w:rFonts w:hint="cs"/>
                <w:rtl/>
              </w:rPr>
              <w:t>"החזר סכום ששולם ביתר</w:t>
            </w:r>
          </w:p>
        </w:tc>
        <w:tc>
          <w:tcPr>
            <w:tcW w:w="606" w:type="dxa"/>
          </w:tcPr>
          <w:p w:rsidR="0085608E" w:rsidRDefault="0085608E">
            <w:pPr>
              <w:pStyle w:val="TableText"/>
              <w:rPr>
                <w:rtl/>
              </w:rPr>
            </w:pPr>
            <w:r>
              <w:rPr>
                <w:rFonts w:hint="cs"/>
                <w:rtl/>
              </w:rPr>
              <w:t>87א.</w:t>
            </w:r>
          </w:p>
        </w:tc>
        <w:tc>
          <w:tcPr>
            <w:tcW w:w="4518" w:type="dxa"/>
            <w:gridSpan w:val="2"/>
          </w:tcPr>
          <w:p w:rsidR="0085608E" w:rsidRDefault="0085608E" w:rsidP="001C1BB4">
            <w:pPr>
              <w:pStyle w:val="TableBlock"/>
            </w:pPr>
            <w:r w:rsidRPr="0085608E">
              <w:rPr>
                <w:rtl/>
              </w:rPr>
              <w:t xml:space="preserve">הוכח להנחת דעתו של המנהל כי חייב במס שילם סכום יתר על הסכום שהיה חייב בו, יהיה החייב במס </w:t>
            </w:r>
            <w:r w:rsidR="001C1BB4">
              <w:rPr>
                <w:rFonts w:hint="cs"/>
                <w:rtl/>
              </w:rPr>
              <w:t xml:space="preserve">רשאי להגיש בקשה להשבת </w:t>
            </w:r>
            <w:r w:rsidRPr="0085608E">
              <w:rPr>
                <w:rtl/>
              </w:rPr>
              <w:t>הסכום כאמור בתוך חמש שנים מהיום שבו שולם</w:t>
            </w:r>
            <w:r>
              <w:rPr>
                <w:rFonts w:hint="cs"/>
                <w:rtl/>
              </w:rPr>
              <w:t>"</w:t>
            </w:r>
            <w:r w:rsidR="00E46731">
              <w:rPr>
                <w:rFonts w:hint="cs"/>
                <w:rtl/>
              </w:rPr>
              <w:t>.</w:t>
            </w:r>
          </w:p>
        </w:tc>
      </w:tr>
      <w:tr w:rsidR="003A5B7D" w:rsidTr="00095D53">
        <w:trPr>
          <w:gridAfter w:val="3"/>
          <w:wAfter w:w="267" w:type="dxa"/>
          <w:cantSplit/>
          <w:trHeight w:val="60"/>
        </w:trPr>
        <w:tc>
          <w:tcPr>
            <w:tcW w:w="1820" w:type="dxa"/>
          </w:tcPr>
          <w:p w:rsidR="003A5B7D" w:rsidRDefault="00CC7927" w:rsidP="00113336">
            <w:pPr>
              <w:pStyle w:val="TableSideHeading"/>
              <w:keepLines w:val="0"/>
            </w:pPr>
            <w:r>
              <w:rPr>
                <w:rFonts w:hint="cs"/>
                <w:rtl/>
              </w:rPr>
              <w:t>ביטול סעיף 96</w:t>
            </w:r>
          </w:p>
        </w:tc>
        <w:tc>
          <w:tcPr>
            <w:tcW w:w="608" w:type="dxa"/>
            <w:gridSpan w:val="3"/>
          </w:tcPr>
          <w:p w:rsidR="003A5B7D" w:rsidRDefault="003A5B7D" w:rsidP="003A5B7D">
            <w:pPr>
              <w:pStyle w:val="TableText"/>
              <w:keepLines w:val="0"/>
              <w:numPr>
                <w:ilvl w:val="0"/>
                <w:numId w:val="1"/>
              </w:numPr>
            </w:pPr>
          </w:p>
        </w:tc>
        <w:tc>
          <w:tcPr>
            <w:tcW w:w="6855" w:type="dxa"/>
            <w:gridSpan w:val="13"/>
          </w:tcPr>
          <w:p w:rsidR="003A5B7D" w:rsidRPr="00C34DE2" w:rsidRDefault="003A5B7D" w:rsidP="00113336">
            <w:pPr>
              <w:pStyle w:val="TableBlock"/>
              <w:keepLines w:val="0"/>
            </w:pPr>
            <w:r>
              <w:rPr>
                <w:rFonts w:hint="cs"/>
                <w:rtl/>
              </w:rPr>
              <w:t xml:space="preserve">סעיף 96 </w:t>
            </w:r>
            <w:r w:rsidR="00BF6FF2">
              <w:rPr>
                <w:rFonts w:hint="cs"/>
                <w:rtl/>
              </w:rPr>
              <w:t xml:space="preserve">לחוק העיקרי </w:t>
            </w:r>
            <w:r w:rsidR="00E46731">
              <w:rPr>
                <w:rtl/>
              </w:rPr>
              <w:t>–</w:t>
            </w:r>
            <w:r w:rsidR="00BF6FF2">
              <w:rPr>
                <w:rFonts w:hint="cs"/>
                <w:rtl/>
              </w:rPr>
              <w:t xml:space="preserve"> </w:t>
            </w:r>
            <w:r>
              <w:rPr>
                <w:rFonts w:hint="cs"/>
                <w:rtl/>
              </w:rPr>
              <w:t>בטל</w:t>
            </w:r>
            <w:r w:rsidR="00E46731">
              <w:rPr>
                <w:rFonts w:hint="cs"/>
                <w:rtl/>
              </w:rPr>
              <w:t>.</w:t>
            </w:r>
          </w:p>
        </w:tc>
      </w:tr>
      <w:tr w:rsidR="00AA113C" w:rsidTr="00095D53">
        <w:trPr>
          <w:gridAfter w:val="3"/>
          <w:wAfter w:w="267" w:type="dxa"/>
          <w:cantSplit/>
          <w:trHeight w:val="60"/>
        </w:trPr>
        <w:tc>
          <w:tcPr>
            <w:tcW w:w="1820" w:type="dxa"/>
          </w:tcPr>
          <w:p w:rsidR="00AA113C" w:rsidRDefault="00CC7927" w:rsidP="00113336">
            <w:pPr>
              <w:pStyle w:val="TableSideHeading"/>
              <w:keepLines w:val="0"/>
            </w:pPr>
            <w:r>
              <w:rPr>
                <w:rFonts w:hint="cs"/>
                <w:rtl/>
              </w:rPr>
              <w:t>תיקון סעיף 97</w:t>
            </w:r>
          </w:p>
        </w:tc>
        <w:tc>
          <w:tcPr>
            <w:tcW w:w="608" w:type="dxa"/>
            <w:gridSpan w:val="3"/>
          </w:tcPr>
          <w:p w:rsidR="00AA113C" w:rsidRDefault="00AA113C" w:rsidP="00AA113C">
            <w:pPr>
              <w:pStyle w:val="TableText"/>
              <w:keepLines w:val="0"/>
              <w:numPr>
                <w:ilvl w:val="0"/>
                <w:numId w:val="1"/>
              </w:numPr>
            </w:pPr>
          </w:p>
        </w:tc>
        <w:tc>
          <w:tcPr>
            <w:tcW w:w="6855" w:type="dxa"/>
            <w:gridSpan w:val="13"/>
          </w:tcPr>
          <w:p w:rsidR="00AA113C" w:rsidRPr="00C34DE2" w:rsidRDefault="00AA113C" w:rsidP="00240081">
            <w:pPr>
              <w:pStyle w:val="TableBlock"/>
              <w:keepLines w:val="0"/>
            </w:pPr>
            <w:r>
              <w:rPr>
                <w:rFonts w:hint="cs"/>
                <w:rtl/>
              </w:rPr>
              <w:t xml:space="preserve">בסעיף 97 </w:t>
            </w:r>
            <w:r w:rsidR="00BF6FF2">
              <w:rPr>
                <w:rFonts w:hint="cs"/>
                <w:rtl/>
              </w:rPr>
              <w:t xml:space="preserve">לחוק העיקרי, </w:t>
            </w:r>
            <w:r>
              <w:rPr>
                <w:rFonts w:hint="cs"/>
                <w:rtl/>
              </w:rPr>
              <w:t>אחרי "הצמדה וריבית" יבוא: "</w:t>
            </w:r>
            <w:r>
              <w:rPr>
                <w:rtl/>
              </w:rPr>
              <w:t xml:space="preserve"> </w:t>
            </w:r>
            <w:r w:rsidRPr="00AA113C">
              <w:rPr>
                <w:rtl/>
              </w:rPr>
              <w:t>ואם היה המ</w:t>
            </w:r>
            <w:r w:rsidR="008D2313">
              <w:rPr>
                <w:rtl/>
              </w:rPr>
              <w:t xml:space="preserve">ועד לתשלום </w:t>
            </w:r>
            <w:r w:rsidR="008D2313">
              <w:rPr>
                <w:rFonts w:hint="cs"/>
                <w:rtl/>
              </w:rPr>
              <w:t>מועד פרסום המדד</w:t>
            </w:r>
            <w:r w:rsidRPr="00AA113C">
              <w:rPr>
                <w:rtl/>
              </w:rPr>
              <w:t xml:space="preserve"> ייווספו הפרש</w:t>
            </w:r>
            <w:r>
              <w:rPr>
                <w:rtl/>
              </w:rPr>
              <w:t>י ההצמדה לתקופת הפיגור או הדחיה</w:t>
            </w:r>
            <w:r w:rsidR="008D2313">
              <w:rPr>
                <w:rtl/>
              </w:rPr>
              <w:t>, מתום היום</w:t>
            </w:r>
            <w:r w:rsidRPr="00AA113C">
              <w:rPr>
                <w:rtl/>
              </w:rPr>
              <w:t xml:space="preserve"> אשר קדם למועד התשלום כאמור</w:t>
            </w:r>
            <w:r w:rsidR="00240081">
              <w:rPr>
                <w:rFonts w:hint="cs"/>
                <w:rtl/>
              </w:rPr>
              <w:t>. לעניין זה יראו מועד תשלום מס כמועד תשלום המס המגיע לתקופת דו"ח כאמור בסעיף 88</w:t>
            </w:r>
            <w:r>
              <w:rPr>
                <w:rFonts w:hint="cs"/>
                <w:rtl/>
              </w:rPr>
              <w:t>"</w:t>
            </w:r>
            <w:r w:rsidR="00E46731">
              <w:rPr>
                <w:rFonts w:hint="cs"/>
                <w:rtl/>
              </w:rPr>
              <w:t>.</w:t>
            </w:r>
          </w:p>
        </w:tc>
      </w:tr>
      <w:tr w:rsidR="00015F02" w:rsidTr="00095D53">
        <w:trPr>
          <w:gridAfter w:val="3"/>
          <w:wAfter w:w="267" w:type="dxa"/>
          <w:cantSplit/>
          <w:trHeight w:val="60"/>
        </w:trPr>
        <w:tc>
          <w:tcPr>
            <w:tcW w:w="1820" w:type="dxa"/>
          </w:tcPr>
          <w:p w:rsidR="00015F02" w:rsidRDefault="00CC7927" w:rsidP="00113336">
            <w:pPr>
              <w:pStyle w:val="TableSideHeading"/>
              <w:keepLines w:val="0"/>
            </w:pPr>
            <w:r>
              <w:rPr>
                <w:rFonts w:hint="cs"/>
                <w:rtl/>
              </w:rPr>
              <w:t>הוספת סעיף 103א.</w:t>
            </w:r>
          </w:p>
        </w:tc>
        <w:tc>
          <w:tcPr>
            <w:tcW w:w="608" w:type="dxa"/>
            <w:gridSpan w:val="3"/>
          </w:tcPr>
          <w:p w:rsidR="00015F02" w:rsidRDefault="00015F02" w:rsidP="00015F02">
            <w:pPr>
              <w:pStyle w:val="TableText"/>
              <w:keepLines w:val="0"/>
              <w:numPr>
                <w:ilvl w:val="0"/>
                <w:numId w:val="1"/>
              </w:numPr>
            </w:pPr>
          </w:p>
        </w:tc>
        <w:tc>
          <w:tcPr>
            <w:tcW w:w="6855" w:type="dxa"/>
            <w:gridSpan w:val="13"/>
          </w:tcPr>
          <w:p w:rsidR="00015F02" w:rsidRPr="00C34DE2" w:rsidRDefault="009609DE" w:rsidP="001F3E60">
            <w:pPr>
              <w:pStyle w:val="TableBlock"/>
              <w:keepLines w:val="0"/>
            </w:pPr>
            <w:r>
              <w:rPr>
                <w:rFonts w:hint="cs"/>
                <w:rtl/>
              </w:rPr>
              <w:t xml:space="preserve">אחרי סעיף 103 </w:t>
            </w:r>
            <w:r w:rsidR="00BF6FF2">
              <w:rPr>
                <w:rFonts w:hint="cs"/>
                <w:rtl/>
              </w:rPr>
              <w:t xml:space="preserve">לחוק העיקרי </w:t>
            </w:r>
            <w:r>
              <w:rPr>
                <w:rFonts w:hint="cs"/>
                <w:rtl/>
              </w:rPr>
              <w:t>יבוא:</w:t>
            </w:r>
            <w:r w:rsidR="00346F2B">
              <w:rPr>
                <w:rFonts w:hint="cs"/>
                <w:rtl/>
              </w:rPr>
              <w:t xml:space="preserve"> </w:t>
            </w:r>
          </w:p>
        </w:tc>
      </w:tr>
      <w:tr w:rsidR="009609DE" w:rsidTr="00095D53">
        <w:trPr>
          <w:gridAfter w:val="3"/>
          <w:wAfter w:w="267" w:type="dxa"/>
          <w:cantSplit/>
          <w:trHeight w:val="60"/>
        </w:trPr>
        <w:tc>
          <w:tcPr>
            <w:tcW w:w="1820" w:type="dxa"/>
          </w:tcPr>
          <w:p w:rsidR="009609DE" w:rsidRDefault="009609DE">
            <w:pPr>
              <w:pStyle w:val="TableSideHeading"/>
              <w:keepLines w:val="0"/>
            </w:pPr>
          </w:p>
        </w:tc>
        <w:tc>
          <w:tcPr>
            <w:tcW w:w="608" w:type="dxa"/>
            <w:gridSpan w:val="3"/>
          </w:tcPr>
          <w:p w:rsidR="009609DE" w:rsidRDefault="009609DE">
            <w:pPr>
              <w:pStyle w:val="TableText"/>
              <w:keepLines w:val="0"/>
            </w:pPr>
          </w:p>
        </w:tc>
        <w:tc>
          <w:tcPr>
            <w:tcW w:w="1731" w:type="dxa"/>
            <w:gridSpan w:val="10"/>
          </w:tcPr>
          <w:p w:rsidR="009609DE" w:rsidRDefault="001F3E60">
            <w:pPr>
              <w:pStyle w:val="TableInnerSideHeading"/>
            </w:pPr>
            <w:r>
              <w:rPr>
                <w:rFonts w:hint="cs"/>
                <w:rtl/>
              </w:rPr>
              <w:t>"זקיפת תשלום לחוב שנוצר ב</w:t>
            </w:r>
            <w:r w:rsidR="009609DE">
              <w:rPr>
                <w:rFonts w:hint="cs"/>
                <w:rtl/>
              </w:rPr>
              <w:t>שנת 2015</w:t>
            </w:r>
            <w:r>
              <w:rPr>
                <w:rFonts w:hint="cs"/>
                <w:rtl/>
              </w:rPr>
              <w:t xml:space="preserve"> או אחריה</w:t>
            </w:r>
          </w:p>
        </w:tc>
        <w:tc>
          <w:tcPr>
            <w:tcW w:w="606" w:type="dxa"/>
          </w:tcPr>
          <w:p w:rsidR="009609DE" w:rsidRPr="009609DE" w:rsidRDefault="009609DE">
            <w:pPr>
              <w:pStyle w:val="TableText"/>
            </w:pPr>
            <w:r>
              <w:rPr>
                <w:rFonts w:hint="cs"/>
                <w:rtl/>
              </w:rPr>
              <w:t>103א.</w:t>
            </w:r>
          </w:p>
        </w:tc>
        <w:tc>
          <w:tcPr>
            <w:tcW w:w="4518" w:type="dxa"/>
            <w:gridSpan w:val="2"/>
          </w:tcPr>
          <w:p w:rsidR="009609DE" w:rsidRDefault="009609DE" w:rsidP="009609DE">
            <w:pPr>
              <w:pStyle w:val="TableBlock"/>
              <w:numPr>
                <w:ilvl w:val="0"/>
                <w:numId w:val="16"/>
              </w:numPr>
              <w:tabs>
                <w:tab w:val="left" w:pos="624"/>
              </w:tabs>
            </w:pPr>
            <w:r>
              <w:rPr>
                <w:rFonts w:hint="cs"/>
                <w:rtl/>
              </w:rPr>
              <w:t xml:space="preserve">על אף האמור בסעיף 103 יחולו הוראות סעיף זה לגבי חובות שנוצרו בשל אחד מאלה: </w:t>
            </w:r>
          </w:p>
        </w:tc>
      </w:tr>
      <w:tr w:rsidR="009609DE" w:rsidTr="00095D53">
        <w:trPr>
          <w:gridAfter w:val="3"/>
          <w:wAfter w:w="267" w:type="dxa"/>
          <w:cantSplit/>
          <w:trHeight w:val="60"/>
        </w:trPr>
        <w:tc>
          <w:tcPr>
            <w:tcW w:w="1820" w:type="dxa"/>
          </w:tcPr>
          <w:p w:rsidR="009609DE" w:rsidRDefault="009609DE">
            <w:pPr>
              <w:pStyle w:val="TableSideHeading"/>
            </w:pPr>
          </w:p>
        </w:tc>
        <w:tc>
          <w:tcPr>
            <w:tcW w:w="608" w:type="dxa"/>
            <w:gridSpan w:val="3"/>
          </w:tcPr>
          <w:p w:rsidR="009609DE" w:rsidRDefault="009609DE">
            <w:pPr>
              <w:pStyle w:val="TableText"/>
            </w:pPr>
          </w:p>
        </w:tc>
        <w:tc>
          <w:tcPr>
            <w:tcW w:w="518" w:type="dxa"/>
            <w:gridSpan w:val="3"/>
          </w:tcPr>
          <w:p w:rsidR="009609DE" w:rsidRDefault="009609DE">
            <w:pPr>
              <w:pStyle w:val="TableText"/>
            </w:pPr>
          </w:p>
        </w:tc>
        <w:tc>
          <w:tcPr>
            <w:tcW w:w="607" w:type="dxa"/>
            <w:gridSpan w:val="4"/>
          </w:tcPr>
          <w:p w:rsidR="009609DE" w:rsidRDefault="009609DE">
            <w:pPr>
              <w:pStyle w:val="TableText"/>
            </w:pPr>
          </w:p>
        </w:tc>
        <w:tc>
          <w:tcPr>
            <w:tcW w:w="606" w:type="dxa"/>
            <w:gridSpan w:val="3"/>
          </w:tcPr>
          <w:p w:rsidR="009609DE" w:rsidRDefault="009609DE">
            <w:pPr>
              <w:pStyle w:val="TableText"/>
            </w:pPr>
          </w:p>
        </w:tc>
        <w:tc>
          <w:tcPr>
            <w:tcW w:w="606" w:type="dxa"/>
          </w:tcPr>
          <w:p w:rsidR="009609DE" w:rsidRDefault="009609DE">
            <w:pPr>
              <w:pStyle w:val="TableText"/>
            </w:pPr>
          </w:p>
        </w:tc>
        <w:tc>
          <w:tcPr>
            <w:tcW w:w="606" w:type="dxa"/>
          </w:tcPr>
          <w:p w:rsidR="009609DE" w:rsidRDefault="009609DE">
            <w:pPr>
              <w:pStyle w:val="TableText"/>
            </w:pPr>
          </w:p>
        </w:tc>
        <w:tc>
          <w:tcPr>
            <w:tcW w:w="3912" w:type="dxa"/>
          </w:tcPr>
          <w:p w:rsidR="009609DE" w:rsidRDefault="009609DE" w:rsidP="009609DE">
            <w:pPr>
              <w:pStyle w:val="TableBlock"/>
              <w:numPr>
                <w:ilvl w:val="0"/>
                <w:numId w:val="17"/>
              </w:numPr>
              <w:tabs>
                <w:tab w:val="left" w:pos="624"/>
              </w:tabs>
            </w:pPr>
            <w:r>
              <w:rPr>
                <w:rFonts w:hint="cs"/>
                <w:rtl/>
              </w:rPr>
              <w:t>דוחות תקופתיים לתקופות דיווח בשנת 2015 או אחריה</w:t>
            </w:r>
            <w:r w:rsidR="00E2783A">
              <w:rPr>
                <w:rFonts w:hint="cs"/>
                <w:rtl/>
              </w:rPr>
              <w:t>, לרבות קנסות אשר הוטלו בשל דוחות כאמו</w:t>
            </w:r>
            <w:r w:rsidR="00366A74">
              <w:rPr>
                <w:rFonts w:hint="cs"/>
                <w:rtl/>
              </w:rPr>
              <w:t>ר</w:t>
            </w:r>
            <w:r w:rsidR="00E2783A">
              <w:rPr>
                <w:rFonts w:hint="cs"/>
                <w:rtl/>
              </w:rPr>
              <w:t xml:space="preserve"> לפי סעיף 94, </w:t>
            </w:r>
            <w:r w:rsidR="007F2E35">
              <w:rPr>
                <w:rFonts w:hint="cs"/>
                <w:rtl/>
              </w:rPr>
              <w:t xml:space="preserve">או לפי </w:t>
            </w:r>
            <w:r w:rsidR="00E2783A">
              <w:rPr>
                <w:rFonts w:hint="cs"/>
                <w:rtl/>
              </w:rPr>
              <w:t>חוק המיסים (קנס פיגורים), התשמ"א-1981</w:t>
            </w:r>
            <w:r w:rsidR="009123E4">
              <w:rPr>
                <w:rFonts w:hint="cs"/>
                <w:rtl/>
              </w:rPr>
              <w:t xml:space="preserve"> </w:t>
            </w:r>
            <w:r w:rsidR="009123E4">
              <w:rPr>
                <w:rStyle w:val="a7"/>
                <w:rtl/>
              </w:rPr>
              <w:footnoteReference w:id="3"/>
            </w:r>
            <w:r w:rsidR="00DD0983">
              <w:rPr>
                <w:rFonts w:hint="cs"/>
                <w:rtl/>
              </w:rPr>
              <w:t>(להלן- חוק המיסים (קנס פיגורים)</w:t>
            </w:r>
          </w:p>
        </w:tc>
      </w:tr>
      <w:tr w:rsidR="009609DE" w:rsidTr="00095D53">
        <w:trPr>
          <w:gridAfter w:val="3"/>
          <w:wAfter w:w="267" w:type="dxa"/>
          <w:cantSplit/>
          <w:trHeight w:val="60"/>
        </w:trPr>
        <w:tc>
          <w:tcPr>
            <w:tcW w:w="1820" w:type="dxa"/>
          </w:tcPr>
          <w:p w:rsidR="009609DE" w:rsidRDefault="009609DE">
            <w:pPr>
              <w:pStyle w:val="TableSideHeading"/>
            </w:pPr>
          </w:p>
        </w:tc>
        <w:tc>
          <w:tcPr>
            <w:tcW w:w="608" w:type="dxa"/>
            <w:gridSpan w:val="3"/>
          </w:tcPr>
          <w:p w:rsidR="009609DE" w:rsidRDefault="009609DE" w:rsidP="009609DE">
            <w:pPr>
              <w:pStyle w:val="TableText"/>
            </w:pPr>
          </w:p>
        </w:tc>
        <w:tc>
          <w:tcPr>
            <w:tcW w:w="518" w:type="dxa"/>
            <w:gridSpan w:val="3"/>
          </w:tcPr>
          <w:p w:rsidR="009609DE" w:rsidRDefault="009609DE">
            <w:pPr>
              <w:pStyle w:val="TableText"/>
            </w:pPr>
          </w:p>
        </w:tc>
        <w:tc>
          <w:tcPr>
            <w:tcW w:w="607" w:type="dxa"/>
            <w:gridSpan w:val="4"/>
          </w:tcPr>
          <w:p w:rsidR="009609DE" w:rsidRDefault="009609DE">
            <w:pPr>
              <w:pStyle w:val="TableText"/>
            </w:pPr>
          </w:p>
        </w:tc>
        <w:tc>
          <w:tcPr>
            <w:tcW w:w="606" w:type="dxa"/>
            <w:gridSpan w:val="3"/>
          </w:tcPr>
          <w:p w:rsidR="009609DE" w:rsidRDefault="009609DE">
            <w:pPr>
              <w:pStyle w:val="TableText"/>
            </w:pPr>
          </w:p>
        </w:tc>
        <w:tc>
          <w:tcPr>
            <w:tcW w:w="606" w:type="dxa"/>
          </w:tcPr>
          <w:p w:rsidR="009609DE" w:rsidRDefault="009609DE">
            <w:pPr>
              <w:pStyle w:val="TableText"/>
            </w:pPr>
          </w:p>
        </w:tc>
        <w:tc>
          <w:tcPr>
            <w:tcW w:w="606" w:type="dxa"/>
          </w:tcPr>
          <w:p w:rsidR="009609DE" w:rsidRDefault="009609DE">
            <w:pPr>
              <w:pStyle w:val="TableText"/>
            </w:pPr>
          </w:p>
        </w:tc>
        <w:tc>
          <w:tcPr>
            <w:tcW w:w="3912" w:type="dxa"/>
          </w:tcPr>
          <w:p w:rsidR="009609DE" w:rsidRDefault="009609DE" w:rsidP="001D49F6">
            <w:pPr>
              <w:pStyle w:val="TableBlock"/>
              <w:numPr>
                <w:ilvl w:val="0"/>
                <w:numId w:val="17"/>
              </w:numPr>
              <w:tabs>
                <w:tab w:val="left" w:pos="624"/>
              </w:tabs>
              <w:rPr>
                <w:rtl/>
              </w:rPr>
            </w:pPr>
            <w:r>
              <w:rPr>
                <w:rFonts w:hint="cs"/>
                <w:rtl/>
              </w:rPr>
              <w:t>קנס, כפל מס או עיצום כספי</w:t>
            </w:r>
            <w:r w:rsidR="00E2783A">
              <w:rPr>
                <w:rFonts w:hint="cs"/>
                <w:rtl/>
              </w:rPr>
              <w:t>, למעט קנסות כאמור בפסקה (1)</w:t>
            </w:r>
            <w:r>
              <w:rPr>
                <w:rFonts w:hint="cs"/>
                <w:rtl/>
              </w:rPr>
              <w:t xml:space="preserve"> אשר הוטלו ביום </w:t>
            </w:r>
            <w:r w:rsidR="007F2E35">
              <w:rPr>
                <w:rFonts w:hint="cs"/>
                <w:rtl/>
              </w:rPr>
              <w:t xml:space="preserve">י בטבת התשע"ה (1 בינואר 2015) </w:t>
            </w:r>
            <w:r>
              <w:rPr>
                <w:rFonts w:hint="cs"/>
                <w:rtl/>
              </w:rPr>
              <w:t>או במועד מאוחר יותר</w:t>
            </w:r>
            <w:r w:rsidR="007F2E35">
              <w:rPr>
                <w:rFonts w:hint="cs"/>
                <w:rtl/>
              </w:rPr>
              <w:t>.</w:t>
            </w:r>
          </w:p>
        </w:tc>
      </w:tr>
      <w:tr w:rsidR="009609DE" w:rsidTr="00095D53">
        <w:trPr>
          <w:gridAfter w:val="3"/>
          <w:wAfter w:w="267" w:type="dxa"/>
          <w:cantSplit/>
          <w:trHeight w:val="60"/>
        </w:trPr>
        <w:tc>
          <w:tcPr>
            <w:tcW w:w="1820" w:type="dxa"/>
          </w:tcPr>
          <w:p w:rsidR="009609DE" w:rsidRDefault="009609DE">
            <w:pPr>
              <w:pStyle w:val="TableSideHeading"/>
            </w:pPr>
          </w:p>
        </w:tc>
        <w:tc>
          <w:tcPr>
            <w:tcW w:w="608" w:type="dxa"/>
            <w:gridSpan w:val="3"/>
          </w:tcPr>
          <w:p w:rsidR="009609DE" w:rsidRDefault="009609DE" w:rsidP="009609DE">
            <w:pPr>
              <w:pStyle w:val="TableText"/>
            </w:pPr>
          </w:p>
        </w:tc>
        <w:tc>
          <w:tcPr>
            <w:tcW w:w="518" w:type="dxa"/>
            <w:gridSpan w:val="3"/>
          </w:tcPr>
          <w:p w:rsidR="009609DE" w:rsidRDefault="009609DE">
            <w:pPr>
              <w:pStyle w:val="TableText"/>
            </w:pPr>
          </w:p>
        </w:tc>
        <w:tc>
          <w:tcPr>
            <w:tcW w:w="607" w:type="dxa"/>
            <w:gridSpan w:val="4"/>
          </w:tcPr>
          <w:p w:rsidR="009609DE" w:rsidRDefault="009609DE">
            <w:pPr>
              <w:pStyle w:val="TableText"/>
            </w:pPr>
          </w:p>
        </w:tc>
        <w:tc>
          <w:tcPr>
            <w:tcW w:w="606" w:type="dxa"/>
            <w:gridSpan w:val="3"/>
          </w:tcPr>
          <w:p w:rsidR="009609DE" w:rsidRDefault="009609DE">
            <w:pPr>
              <w:pStyle w:val="TableText"/>
            </w:pPr>
          </w:p>
        </w:tc>
        <w:tc>
          <w:tcPr>
            <w:tcW w:w="606" w:type="dxa"/>
          </w:tcPr>
          <w:p w:rsidR="009609DE" w:rsidRDefault="009609DE">
            <w:pPr>
              <w:pStyle w:val="TableText"/>
            </w:pPr>
          </w:p>
        </w:tc>
        <w:tc>
          <w:tcPr>
            <w:tcW w:w="4518" w:type="dxa"/>
            <w:gridSpan w:val="2"/>
          </w:tcPr>
          <w:p w:rsidR="009609DE" w:rsidRDefault="009609DE" w:rsidP="00DD0983">
            <w:pPr>
              <w:pStyle w:val="TableBlock"/>
              <w:numPr>
                <w:ilvl w:val="0"/>
                <w:numId w:val="16"/>
              </w:numPr>
              <w:rPr>
                <w:rtl/>
              </w:rPr>
            </w:pPr>
            <w:r>
              <w:rPr>
                <w:rFonts w:hint="cs"/>
                <w:rtl/>
              </w:rPr>
              <w:t>שילם אדם החייב ב</w:t>
            </w:r>
            <w:r w:rsidR="001C7283">
              <w:rPr>
                <w:rFonts w:hint="cs"/>
                <w:rtl/>
              </w:rPr>
              <w:t>תשלום לפי חוק זה סכום</w:t>
            </w:r>
            <w:r>
              <w:rPr>
                <w:rFonts w:hint="cs"/>
                <w:rtl/>
              </w:rPr>
              <w:t xml:space="preserve"> </w:t>
            </w:r>
            <w:r w:rsidR="001C7283">
              <w:rPr>
                <w:rFonts w:hint="cs"/>
                <w:rtl/>
              </w:rPr>
              <w:t xml:space="preserve">כלשהו על חשבון סכומים שונים שהוא חייב בהם על פי חוק זה או על פי חוק המיסים (קנס פיגורים), </w:t>
            </w:r>
            <w:r w:rsidR="001C7283" w:rsidRPr="001C7283">
              <w:rPr>
                <w:rtl/>
              </w:rPr>
              <w:t xml:space="preserve">ולא פירש לסילוק איזה מסוגי </w:t>
            </w:r>
            <w:r w:rsidR="00366A74">
              <w:rPr>
                <w:rFonts w:hint="cs"/>
                <w:rtl/>
              </w:rPr>
              <w:t>החובות</w:t>
            </w:r>
            <w:r w:rsidR="001C7283" w:rsidRPr="001C7283">
              <w:rPr>
                <w:rtl/>
              </w:rPr>
              <w:t xml:space="preserve"> נועד הסכום ששילם</w:t>
            </w:r>
            <w:r w:rsidR="001C7283">
              <w:rPr>
                <w:rFonts w:hint="cs"/>
                <w:rtl/>
              </w:rPr>
              <w:t>, ייזקף התשלום לסוגי החובות השונים לפי הסדר שלהלן, ואילו בכל סוג חוב ייזקף התשלום לפי סדר היווצרות החוב:</w:t>
            </w:r>
          </w:p>
        </w:tc>
      </w:tr>
      <w:tr w:rsidR="001C7283" w:rsidTr="00095D53">
        <w:trPr>
          <w:gridAfter w:val="3"/>
          <w:wAfter w:w="267" w:type="dxa"/>
          <w:cantSplit/>
          <w:trHeight w:val="60"/>
        </w:trPr>
        <w:tc>
          <w:tcPr>
            <w:tcW w:w="1820" w:type="dxa"/>
          </w:tcPr>
          <w:p w:rsidR="001C7283" w:rsidRDefault="001C7283">
            <w:pPr>
              <w:pStyle w:val="TableSideHeading"/>
            </w:pPr>
          </w:p>
        </w:tc>
        <w:tc>
          <w:tcPr>
            <w:tcW w:w="608" w:type="dxa"/>
            <w:gridSpan w:val="3"/>
          </w:tcPr>
          <w:p w:rsidR="001C7283" w:rsidRDefault="001C7283">
            <w:pPr>
              <w:pStyle w:val="TableText"/>
            </w:pPr>
          </w:p>
        </w:tc>
        <w:tc>
          <w:tcPr>
            <w:tcW w:w="518" w:type="dxa"/>
            <w:gridSpan w:val="3"/>
          </w:tcPr>
          <w:p w:rsidR="001C7283" w:rsidRDefault="001C7283">
            <w:pPr>
              <w:pStyle w:val="TableText"/>
            </w:pPr>
          </w:p>
        </w:tc>
        <w:tc>
          <w:tcPr>
            <w:tcW w:w="607" w:type="dxa"/>
            <w:gridSpan w:val="4"/>
          </w:tcPr>
          <w:p w:rsidR="001C7283" w:rsidRDefault="001C7283">
            <w:pPr>
              <w:pStyle w:val="TableText"/>
            </w:pPr>
          </w:p>
        </w:tc>
        <w:tc>
          <w:tcPr>
            <w:tcW w:w="606" w:type="dxa"/>
            <w:gridSpan w:val="3"/>
          </w:tcPr>
          <w:p w:rsidR="001C7283" w:rsidRDefault="001C7283">
            <w:pPr>
              <w:pStyle w:val="TableText"/>
            </w:pPr>
          </w:p>
        </w:tc>
        <w:tc>
          <w:tcPr>
            <w:tcW w:w="606" w:type="dxa"/>
          </w:tcPr>
          <w:p w:rsidR="001C7283" w:rsidRDefault="001C7283">
            <w:pPr>
              <w:pStyle w:val="TableText"/>
            </w:pPr>
          </w:p>
        </w:tc>
        <w:tc>
          <w:tcPr>
            <w:tcW w:w="606" w:type="dxa"/>
          </w:tcPr>
          <w:p w:rsidR="001C7283" w:rsidRDefault="001C7283">
            <w:pPr>
              <w:pStyle w:val="TableText"/>
            </w:pPr>
          </w:p>
        </w:tc>
        <w:tc>
          <w:tcPr>
            <w:tcW w:w="3912" w:type="dxa"/>
          </w:tcPr>
          <w:p w:rsidR="001C7283" w:rsidRDefault="001C7283" w:rsidP="001C7283">
            <w:pPr>
              <w:pStyle w:val="TableBlock"/>
              <w:numPr>
                <w:ilvl w:val="0"/>
                <w:numId w:val="18"/>
              </w:numPr>
              <w:tabs>
                <w:tab w:val="left" w:pos="624"/>
              </w:tabs>
            </w:pPr>
            <w:r>
              <w:rPr>
                <w:rFonts w:hint="cs"/>
                <w:rtl/>
              </w:rPr>
              <w:t>מס;</w:t>
            </w:r>
          </w:p>
        </w:tc>
      </w:tr>
      <w:tr w:rsidR="001C7283" w:rsidTr="00095D53">
        <w:trPr>
          <w:gridAfter w:val="3"/>
          <w:wAfter w:w="267" w:type="dxa"/>
          <w:cantSplit/>
          <w:trHeight w:val="60"/>
        </w:trPr>
        <w:tc>
          <w:tcPr>
            <w:tcW w:w="1820" w:type="dxa"/>
          </w:tcPr>
          <w:p w:rsidR="001C7283" w:rsidRDefault="001C7283">
            <w:pPr>
              <w:pStyle w:val="TableSideHeading"/>
            </w:pPr>
          </w:p>
        </w:tc>
        <w:tc>
          <w:tcPr>
            <w:tcW w:w="608" w:type="dxa"/>
            <w:gridSpan w:val="3"/>
          </w:tcPr>
          <w:p w:rsidR="001C7283" w:rsidRDefault="001C7283" w:rsidP="001C7283">
            <w:pPr>
              <w:pStyle w:val="TableText"/>
            </w:pPr>
          </w:p>
        </w:tc>
        <w:tc>
          <w:tcPr>
            <w:tcW w:w="518" w:type="dxa"/>
            <w:gridSpan w:val="3"/>
          </w:tcPr>
          <w:p w:rsidR="001C7283" w:rsidRDefault="001C7283">
            <w:pPr>
              <w:pStyle w:val="TableText"/>
            </w:pPr>
          </w:p>
        </w:tc>
        <w:tc>
          <w:tcPr>
            <w:tcW w:w="607" w:type="dxa"/>
            <w:gridSpan w:val="4"/>
          </w:tcPr>
          <w:p w:rsidR="001C7283" w:rsidRDefault="001C7283">
            <w:pPr>
              <w:pStyle w:val="TableText"/>
            </w:pPr>
          </w:p>
        </w:tc>
        <w:tc>
          <w:tcPr>
            <w:tcW w:w="606" w:type="dxa"/>
            <w:gridSpan w:val="3"/>
          </w:tcPr>
          <w:p w:rsidR="001C7283" w:rsidRDefault="001C7283">
            <w:pPr>
              <w:pStyle w:val="TableText"/>
            </w:pPr>
          </w:p>
        </w:tc>
        <w:tc>
          <w:tcPr>
            <w:tcW w:w="606" w:type="dxa"/>
          </w:tcPr>
          <w:p w:rsidR="001C7283" w:rsidRDefault="001C7283">
            <w:pPr>
              <w:pStyle w:val="TableText"/>
            </w:pPr>
          </w:p>
        </w:tc>
        <w:tc>
          <w:tcPr>
            <w:tcW w:w="606" w:type="dxa"/>
          </w:tcPr>
          <w:p w:rsidR="001C7283" w:rsidRDefault="001C7283">
            <w:pPr>
              <w:pStyle w:val="TableText"/>
            </w:pPr>
          </w:p>
        </w:tc>
        <w:tc>
          <w:tcPr>
            <w:tcW w:w="3912" w:type="dxa"/>
          </w:tcPr>
          <w:p w:rsidR="001C7283" w:rsidRDefault="001C7283" w:rsidP="001C7283">
            <w:pPr>
              <w:pStyle w:val="TableBlock"/>
              <w:numPr>
                <w:ilvl w:val="0"/>
                <w:numId w:val="18"/>
              </w:numPr>
              <w:tabs>
                <w:tab w:val="left" w:pos="624"/>
              </w:tabs>
              <w:rPr>
                <w:rtl/>
              </w:rPr>
            </w:pPr>
            <w:r>
              <w:rPr>
                <w:rFonts w:hint="cs"/>
                <w:rtl/>
              </w:rPr>
              <w:t>כפל מס;</w:t>
            </w:r>
          </w:p>
        </w:tc>
      </w:tr>
      <w:tr w:rsidR="001C7283" w:rsidTr="00095D53">
        <w:trPr>
          <w:gridAfter w:val="3"/>
          <w:wAfter w:w="267" w:type="dxa"/>
          <w:cantSplit/>
          <w:trHeight w:val="60"/>
        </w:trPr>
        <w:tc>
          <w:tcPr>
            <w:tcW w:w="1820" w:type="dxa"/>
          </w:tcPr>
          <w:p w:rsidR="001C7283" w:rsidRDefault="001C7283">
            <w:pPr>
              <w:pStyle w:val="TableSideHeading"/>
            </w:pPr>
          </w:p>
        </w:tc>
        <w:tc>
          <w:tcPr>
            <w:tcW w:w="608" w:type="dxa"/>
            <w:gridSpan w:val="3"/>
          </w:tcPr>
          <w:p w:rsidR="001C7283" w:rsidRDefault="001C7283" w:rsidP="001C7283">
            <w:pPr>
              <w:pStyle w:val="TableText"/>
            </w:pPr>
          </w:p>
        </w:tc>
        <w:tc>
          <w:tcPr>
            <w:tcW w:w="518" w:type="dxa"/>
            <w:gridSpan w:val="3"/>
          </w:tcPr>
          <w:p w:rsidR="001C7283" w:rsidRDefault="001C7283">
            <w:pPr>
              <w:pStyle w:val="TableText"/>
            </w:pPr>
          </w:p>
        </w:tc>
        <w:tc>
          <w:tcPr>
            <w:tcW w:w="607" w:type="dxa"/>
            <w:gridSpan w:val="4"/>
          </w:tcPr>
          <w:p w:rsidR="001C7283" w:rsidRDefault="001C7283">
            <w:pPr>
              <w:pStyle w:val="TableText"/>
            </w:pPr>
          </w:p>
        </w:tc>
        <w:tc>
          <w:tcPr>
            <w:tcW w:w="606" w:type="dxa"/>
            <w:gridSpan w:val="3"/>
          </w:tcPr>
          <w:p w:rsidR="001C7283" w:rsidRDefault="001C7283">
            <w:pPr>
              <w:pStyle w:val="TableText"/>
            </w:pPr>
          </w:p>
        </w:tc>
        <w:tc>
          <w:tcPr>
            <w:tcW w:w="606" w:type="dxa"/>
          </w:tcPr>
          <w:p w:rsidR="001C7283" w:rsidRDefault="001C7283">
            <w:pPr>
              <w:pStyle w:val="TableText"/>
            </w:pPr>
          </w:p>
        </w:tc>
        <w:tc>
          <w:tcPr>
            <w:tcW w:w="606" w:type="dxa"/>
          </w:tcPr>
          <w:p w:rsidR="001C7283" w:rsidRDefault="001C7283">
            <w:pPr>
              <w:pStyle w:val="TableText"/>
            </w:pPr>
          </w:p>
        </w:tc>
        <w:tc>
          <w:tcPr>
            <w:tcW w:w="3912" w:type="dxa"/>
          </w:tcPr>
          <w:p w:rsidR="001C7283" w:rsidRDefault="001C7283" w:rsidP="001D49F6">
            <w:pPr>
              <w:pStyle w:val="TableBlock"/>
              <w:numPr>
                <w:ilvl w:val="0"/>
                <w:numId w:val="18"/>
              </w:numPr>
              <w:tabs>
                <w:tab w:val="left" w:pos="624"/>
              </w:tabs>
              <w:rPr>
                <w:rtl/>
              </w:rPr>
            </w:pPr>
            <w:r>
              <w:rPr>
                <w:rFonts w:hint="cs"/>
                <w:rtl/>
              </w:rPr>
              <w:t xml:space="preserve">עיצום כספי או קנס, לרבות קנס לפי חוק המיסים (קנס פיגורים), </w:t>
            </w:r>
            <w:r w:rsidR="007F77A9">
              <w:rPr>
                <w:rFonts w:hint="cs"/>
                <w:rtl/>
              </w:rPr>
              <w:t>4)</w:t>
            </w:r>
          </w:p>
        </w:tc>
      </w:tr>
      <w:tr w:rsidR="001C7283" w:rsidTr="00095D53">
        <w:trPr>
          <w:gridAfter w:val="3"/>
          <w:wAfter w:w="267" w:type="dxa"/>
          <w:cantSplit/>
          <w:trHeight w:val="60"/>
        </w:trPr>
        <w:tc>
          <w:tcPr>
            <w:tcW w:w="1820" w:type="dxa"/>
          </w:tcPr>
          <w:p w:rsidR="001C7283" w:rsidRDefault="001C7283">
            <w:pPr>
              <w:pStyle w:val="TableSideHeading"/>
            </w:pPr>
          </w:p>
        </w:tc>
        <w:tc>
          <w:tcPr>
            <w:tcW w:w="608" w:type="dxa"/>
            <w:gridSpan w:val="3"/>
          </w:tcPr>
          <w:p w:rsidR="001C7283" w:rsidRDefault="001C7283" w:rsidP="001C7283">
            <w:pPr>
              <w:pStyle w:val="TableText"/>
            </w:pPr>
          </w:p>
        </w:tc>
        <w:tc>
          <w:tcPr>
            <w:tcW w:w="518" w:type="dxa"/>
            <w:gridSpan w:val="3"/>
          </w:tcPr>
          <w:p w:rsidR="001C7283" w:rsidRDefault="001C7283">
            <w:pPr>
              <w:pStyle w:val="TableText"/>
            </w:pPr>
          </w:p>
        </w:tc>
        <w:tc>
          <w:tcPr>
            <w:tcW w:w="607" w:type="dxa"/>
            <w:gridSpan w:val="4"/>
          </w:tcPr>
          <w:p w:rsidR="001C7283" w:rsidRDefault="001C7283">
            <w:pPr>
              <w:pStyle w:val="TableText"/>
            </w:pPr>
          </w:p>
        </w:tc>
        <w:tc>
          <w:tcPr>
            <w:tcW w:w="606" w:type="dxa"/>
            <w:gridSpan w:val="3"/>
          </w:tcPr>
          <w:p w:rsidR="001C7283" w:rsidRDefault="001C7283">
            <w:pPr>
              <w:pStyle w:val="TableText"/>
            </w:pPr>
          </w:p>
        </w:tc>
        <w:tc>
          <w:tcPr>
            <w:tcW w:w="606" w:type="dxa"/>
          </w:tcPr>
          <w:p w:rsidR="001C7283" w:rsidRDefault="001C7283">
            <w:pPr>
              <w:pStyle w:val="TableText"/>
            </w:pPr>
          </w:p>
        </w:tc>
        <w:tc>
          <w:tcPr>
            <w:tcW w:w="4518" w:type="dxa"/>
            <w:gridSpan w:val="2"/>
          </w:tcPr>
          <w:p w:rsidR="001C7283" w:rsidRDefault="008F5243" w:rsidP="008F5243">
            <w:pPr>
              <w:pStyle w:val="TableBlock"/>
              <w:numPr>
                <w:ilvl w:val="0"/>
                <w:numId w:val="16"/>
              </w:numPr>
              <w:rPr>
                <w:rtl/>
              </w:rPr>
            </w:pPr>
            <w:r w:rsidRPr="008F5243">
              <w:rPr>
                <w:rtl/>
              </w:rPr>
              <w:t>לענ</w:t>
            </w:r>
            <w:r>
              <w:rPr>
                <w:rFonts w:hint="cs"/>
                <w:rtl/>
              </w:rPr>
              <w:t>י</w:t>
            </w:r>
            <w:r>
              <w:rPr>
                <w:rtl/>
              </w:rPr>
              <w:t>ין סעיף קטן (</w:t>
            </w:r>
            <w:r>
              <w:rPr>
                <w:rFonts w:hint="cs"/>
                <w:rtl/>
              </w:rPr>
              <w:t>ב</w:t>
            </w:r>
            <w:r w:rsidRPr="008F5243">
              <w:rPr>
                <w:rtl/>
              </w:rPr>
              <w:t>), דין החזר מס תשומות וכל החזר מס אחר שקוזז כנגד חוב לפי חוק זה או לפי חוק קיזוז מסים, התש"ם-1980, ודין סכום שנגבה על פי פקודת המסים (גביה) או בדרך אחרת - כדין סכום ששולם</w:t>
            </w:r>
          </w:p>
        </w:tc>
      </w:tr>
      <w:tr w:rsidR="001C7283" w:rsidTr="00095D53">
        <w:trPr>
          <w:gridAfter w:val="3"/>
          <w:wAfter w:w="267" w:type="dxa"/>
          <w:cantSplit/>
          <w:trHeight w:val="60"/>
        </w:trPr>
        <w:tc>
          <w:tcPr>
            <w:tcW w:w="1820" w:type="dxa"/>
          </w:tcPr>
          <w:p w:rsidR="001C7283" w:rsidRDefault="001C7283">
            <w:pPr>
              <w:pStyle w:val="TableSideHeading"/>
            </w:pPr>
          </w:p>
        </w:tc>
        <w:tc>
          <w:tcPr>
            <w:tcW w:w="608" w:type="dxa"/>
            <w:gridSpan w:val="3"/>
          </w:tcPr>
          <w:p w:rsidR="001C7283" w:rsidRDefault="001C7283" w:rsidP="001C7283">
            <w:pPr>
              <w:pStyle w:val="TableText"/>
            </w:pPr>
          </w:p>
        </w:tc>
        <w:tc>
          <w:tcPr>
            <w:tcW w:w="518" w:type="dxa"/>
            <w:gridSpan w:val="3"/>
          </w:tcPr>
          <w:p w:rsidR="001C7283" w:rsidRDefault="001C7283">
            <w:pPr>
              <w:pStyle w:val="TableText"/>
            </w:pPr>
          </w:p>
        </w:tc>
        <w:tc>
          <w:tcPr>
            <w:tcW w:w="607" w:type="dxa"/>
            <w:gridSpan w:val="4"/>
          </w:tcPr>
          <w:p w:rsidR="001C7283" w:rsidRDefault="001C7283">
            <w:pPr>
              <w:pStyle w:val="TableText"/>
            </w:pPr>
          </w:p>
        </w:tc>
        <w:tc>
          <w:tcPr>
            <w:tcW w:w="606" w:type="dxa"/>
            <w:gridSpan w:val="3"/>
          </w:tcPr>
          <w:p w:rsidR="001C7283" w:rsidRDefault="001C7283">
            <w:pPr>
              <w:pStyle w:val="TableText"/>
            </w:pPr>
          </w:p>
        </w:tc>
        <w:tc>
          <w:tcPr>
            <w:tcW w:w="606" w:type="dxa"/>
          </w:tcPr>
          <w:p w:rsidR="001C7283" w:rsidRDefault="001C7283">
            <w:pPr>
              <w:pStyle w:val="TableText"/>
            </w:pPr>
          </w:p>
        </w:tc>
        <w:tc>
          <w:tcPr>
            <w:tcW w:w="4518" w:type="dxa"/>
            <w:gridSpan w:val="2"/>
          </w:tcPr>
          <w:p w:rsidR="001C7283" w:rsidRDefault="00EA60FE" w:rsidP="00EA60FE">
            <w:pPr>
              <w:pStyle w:val="TableBlock"/>
              <w:numPr>
                <w:ilvl w:val="0"/>
                <w:numId w:val="16"/>
              </w:numPr>
            </w:pPr>
            <w:r>
              <w:rPr>
                <w:rFonts w:hint="cs"/>
                <w:rtl/>
              </w:rPr>
              <w:t xml:space="preserve">לגבי כל סכום ששולם </w:t>
            </w:r>
            <w:r w:rsidRPr="00EA60FE">
              <w:rPr>
                <w:rtl/>
              </w:rPr>
              <w:t>ייזק</w:t>
            </w:r>
            <w:r>
              <w:rPr>
                <w:rtl/>
              </w:rPr>
              <w:t>ף כנגד כל סוג חיוב שבאותו חוב</w:t>
            </w:r>
            <w:r w:rsidRPr="00EA60FE">
              <w:rPr>
                <w:rtl/>
              </w:rPr>
              <w:t>, חלק יחסי מהסכום ששילם כיחס חלקו של</w:t>
            </w:r>
            <w:r>
              <w:rPr>
                <w:rtl/>
              </w:rPr>
              <w:t xml:space="preserve"> הסכום שבאותו סוג לסך </w:t>
            </w:r>
            <w:r>
              <w:rPr>
                <w:rFonts w:hint="cs"/>
                <w:rtl/>
              </w:rPr>
              <w:t>כל ה</w:t>
            </w:r>
            <w:r>
              <w:rPr>
                <w:rtl/>
              </w:rPr>
              <w:t>חוב</w:t>
            </w:r>
            <w:r w:rsidRPr="00EA60FE">
              <w:rPr>
                <w:rtl/>
              </w:rPr>
              <w:t>.</w:t>
            </w:r>
          </w:p>
          <w:p w:rsidR="00EA60FE" w:rsidRDefault="00EA60FE" w:rsidP="00EA60FE">
            <w:pPr>
              <w:pStyle w:val="TableBlock"/>
              <w:tabs>
                <w:tab w:val="clear" w:pos="624"/>
              </w:tabs>
              <w:rPr>
                <w:rtl/>
              </w:rPr>
            </w:pPr>
            <w:r>
              <w:rPr>
                <w:rFonts w:hint="cs"/>
                <w:rtl/>
              </w:rPr>
              <w:t xml:space="preserve">לעניין זה: "סוג חיוב" </w:t>
            </w:r>
            <w:r>
              <w:rPr>
                <w:rtl/>
              </w:rPr>
              <w:t>–</w:t>
            </w:r>
            <w:r>
              <w:rPr>
                <w:rFonts w:hint="cs"/>
                <w:rtl/>
              </w:rPr>
              <w:t xml:space="preserve"> קר</w:t>
            </w:r>
            <w:r w:rsidR="007F77A9">
              <w:rPr>
                <w:rFonts w:hint="cs"/>
                <w:rtl/>
              </w:rPr>
              <w:t>ן</w:t>
            </w:r>
            <w:r>
              <w:rPr>
                <w:rFonts w:hint="cs"/>
                <w:rtl/>
              </w:rPr>
              <w:t xml:space="preserve"> החוב, ריבית, הצמדה</w:t>
            </w:r>
            <w:r w:rsidR="00E46731">
              <w:rPr>
                <w:rFonts w:hint="cs"/>
                <w:rtl/>
              </w:rPr>
              <w:t>".</w:t>
            </w:r>
          </w:p>
        </w:tc>
      </w:tr>
      <w:tr w:rsidR="00E92346" w:rsidTr="00095D53">
        <w:trPr>
          <w:gridAfter w:val="3"/>
          <w:wAfter w:w="267" w:type="dxa"/>
          <w:cantSplit/>
          <w:trHeight w:val="60"/>
        </w:trPr>
        <w:tc>
          <w:tcPr>
            <w:tcW w:w="1820" w:type="dxa"/>
          </w:tcPr>
          <w:p w:rsidR="00E92346" w:rsidRDefault="00CC7927" w:rsidP="00113336">
            <w:pPr>
              <w:pStyle w:val="TableSideHeading"/>
              <w:keepLines w:val="0"/>
            </w:pPr>
            <w:r>
              <w:rPr>
                <w:rFonts w:hint="cs"/>
                <w:rtl/>
              </w:rPr>
              <w:t>תיקון סעיף 105</w:t>
            </w:r>
          </w:p>
        </w:tc>
        <w:tc>
          <w:tcPr>
            <w:tcW w:w="608" w:type="dxa"/>
            <w:gridSpan w:val="3"/>
          </w:tcPr>
          <w:p w:rsidR="00E92346" w:rsidRDefault="00E92346" w:rsidP="00E92346">
            <w:pPr>
              <w:pStyle w:val="TableText"/>
              <w:keepLines w:val="0"/>
              <w:numPr>
                <w:ilvl w:val="0"/>
                <w:numId w:val="1"/>
              </w:numPr>
            </w:pPr>
          </w:p>
        </w:tc>
        <w:tc>
          <w:tcPr>
            <w:tcW w:w="6855" w:type="dxa"/>
            <w:gridSpan w:val="13"/>
          </w:tcPr>
          <w:p w:rsidR="00E92346" w:rsidRPr="00C34DE2" w:rsidRDefault="00E92346" w:rsidP="00113336">
            <w:pPr>
              <w:pStyle w:val="TableBlock"/>
              <w:keepLines w:val="0"/>
            </w:pPr>
            <w:r w:rsidRPr="00E92346">
              <w:rPr>
                <w:rtl/>
              </w:rPr>
              <w:t>בס</w:t>
            </w:r>
            <w:r w:rsidR="0051353E">
              <w:rPr>
                <w:rtl/>
              </w:rPr>
              <w:t>עיף 105</w:t>
            </w:r>
            <w:r w:rsidR="00BF6FF2">
              <w:rPr>
                <w:rFonts w:hint="cs"/>
                <w:rtl/>
              </w:rPr>
              <w:t xml:space="preserve"> לחוק העיקרי </w:t>
            </w:r>
            <w:r w:rsidR="0051353E">
              <w:rPr>
                <w:rFonts w:hint="cs"/>
                <w:rtl/>
              </w:rPr>
              <w:t>-</w:t>
            </w:r>
          </w:p>
        </w:tc>
      </w:tr>
      <w:tr w:rsidR="00331553" w:rsidTr="00095D53">
        <w:trPr>
          <w:gridAfter w:val="2"/>
          <w:wAfter w:w="179" w:type="dxa"/>
          <w:cantSplit/>
          <w:trHeight w:val="60"/>
        </w:trPr>
        <w:tc>
          <w:tcPr>
            <w:tcW w:w="1820" w:type="dxa"/>
          </w:tcPr>
          <w:p w:rsidR="00331553" w:rsidRDefault="00331553">
            <w:pPr>
              <w:pStyle w:val="TableSideHeading"/>
            </w:pPr>
          </w:p>
        </w:tc>
        <w:tc>
          <w:tcPr>
            <w:tcW w:w="608" w:type="dxa"/>
            <w:gridSpan w:val="3"/>
          </w:tcPr>
          <w:p w:rsidR="00331553" w:rsidRDefault="00331553">
            <w:pPr>
              <w:pStyle w:val="TableText"/>
            </w:pPr>
          </w:p>
        </w:tc>
        <w:tc>
          <w:tcPr>
            <w:tcW w:w="606" w:type="dxa"/>
            <w:gridSpan w:val="4"/>
          </w:tcPr>
          <w:p w:rsidR="00331553" w:rsidRDefault="00331553">
            <w:pPr>
              <w:pStyle w:val="TableText"/>
            </w:pPr>
          </w:p>
        </w:tc>
        <w:tc>
          <w:tcPr>
            <w:tcW w:w="6337" w:type="dxa"/>
            <w:gridSpan w:val="10"/>
          </w:tcPr>
          <w:p w:rsidR="00331553" w:rsidRDefault="00331553" w:rsidP="00101FF3">
            <w:pPr>
              <w:pStyle w:val="TableBlock"/>
              <w:numPr>
                <w:ilvl w:val="0"/>
                <w:numId w:val="23"/>
              </w:numPr>
              <w:tabs>
                <w:tab w:val="left" w:pos="624"/>
              </w:tabs>
            </w:pPr>
            <w:r>
              <w:rPr>
                <w:rFonts w:hint="cs"/>
                <w:rtl/>
              </w:rPr>
              <w:t>אחרי סעיף קטן (ב) יבוא:</w:t>
            </w:r>
          </w:p>
        </w:tc>
      </w:tr>
      <w:tr w:rsidR="00331553" w:rsidTr="00095D53">
        <w:trPr>
          <w:gridAfter w:val="2"/>
          <w:wAfter w:w="179" w:type="dxa"/>
          <w:cantSplit/>
          <w:trHeight w:val="60"/>
        </w:trPr>
        <w:tc>
          <w:tcPr>
            <w:tcW w:w="1820" w:type="dxa"/>
          </w:tcPr>
          <w:p w:rsidR="00331553" w:rsidRDefault="00331553">
            <w:pPr>
              <w:pStyle w:val="TableSideHeading"/>
            </w:pPr>
          </w:p>
        </w:tc>
        <w:tc>
          <w:tcPr>
            <w:tcW w:w="608" w:type="dxa"/>
            <w:gridSpan w:val="3"/>
          </w:tcPr>
          <w:p w:rsidR="00331553" w:rsidRDefault="00331553">
            <w:pPr>
              <w:pStyle w:val="TableText"/>
            </w:pPr>
          </w:p>
        </w:tc>
        <w:tc>
          <w:tcPr>
            <w:tcW w:w="606" w:type="dxa"/>
            <w:gridSpan w:val="4"/>
          </w:tcPr>
          <w:p w:rsidR="00331553" w:rsidRDefault="00331553">
            <w:pPr>
              <w:pStyle w:val="TableText"/>
            </w:pPr>
          </w:p>
        </w:tc>
        <w:tc>
          <w:tcPr>
            <w:tcW w:w="607" w:type="dxa"/>
            <w:gridSpan w:val="4"/>
          </w:tcPr>
          <w:p w:rsidR="00331553" w:rsidRDefault="00331553">
            <w:pPr>
              <w:pStyle w:val="TableText"/>
            </w:pPr>
          </w:p>
        </w:tc>
        <w:tc>
          <w:tcPr>
            <w:tcW w:w="5730" w:type="dxa"/>
            <w:gridSpan w:val="6"/>
          </w:tcPr>
          <w:p w:rsidR="00331553" w:rsidRDefault="00331553" w:rsidP="0051353E">
            <w:pPr>
              <w:pStyle w:val="TableBlock"/>
            </w:pPr>
            <w:r>
              <w:rPr>
                <w:rFonts w:hint="cs"/>
                <w:rtl/>
              </w:rPr>
              <w:t xml:space="preserve">"(ב1) </w:t>
            </w:r>
            <w:r w:rsidR="0051353E">
              <w:rPr>
                <w:rFonts w:hint="cs"/>
                <w:rtl/>
              </w:rPr>
              <w:t xml:space="preserve">הזכאי להחזר בגין חוב אבוד כאמור בסעיף 43ג, ישולמו לו הפרשי הצמדה וריבית מהיום </w:t>
            </w:r>
            <w:r w:rsidR="007F77A9">
              <w:rPr>
                <w:rFonts w:hint="cs"/>
                <w:rtl/>
              </w:rPr>
              <w:t>ש</w:t>
            </w:r>
            <w:r w:rsidR="0051353E">
              <w:rPr>
                <w:rFonts w:hint="cs"/>
                <w:rtl/>
              </w:rPr>
              <w:t>בו היה זכאי להחזר כאמור</w:t>
            </w:r>
            <w:r w:rsidR="00101FF3">
              <w:rPr>
                <w:rFonts w:hint="cs"/>
                <w:rtl/>
              </w:rPr>
              <w:t>"</w:t>
            </w:r>
            <w:r w:rsidR="0051353E">
              <w:rPr>
                <w:rFonts w:hint="cs"/>
                <w:rtl/>
              </w:rPr>
              <w:t>.</w:t>
            </w:r>
          </w:p>
        </w:tc>
      </w:tr>
      <w:tr w:rsidR="0051353E" w:rsidTr="00095D53">
        <w:trPr>
          <w:gridAfter w:val="2"/>
          <w:wAfter w:w="179" w:type="dxa"/>
          <w:cantSplit/>
          <w:trHeight w:val="60"/>
        </w:trPr>
        <w:tc>
          <w:tcPr>
            <w:tcW w:w="1820" w:type="dxa"/>
          </w:tcPr>
          <w:p w:rsidR="0051353E" w:rsidRDefault="0051353E">
            <w:pPr>
              <w:pStyle w:val="TableSideHeading"/>
            </w:pPr>
          </w:p>
        </w:tc>
        <w:tc>
          <w:tcPr>
            <w:tcW w:w="608" w:type="dxa"/>
            <w:gridSpan w:val="3"/>
          </w:tcPr>
          <w:p w:rsidR="0051353E" w:rsidRDefault="0051353E" w:rsidP="0051353E">
            <w:pPr>
              <w:pStyle w:val="TableText"/>
            </w:pPr>
          </w:p>
        </w:tc>
        <w:tc>
          <w:tcPr>
            <w:tcW w:w="606" w:type="dxa"/>
            <w:gridSpan w:val="4"/>
          </w:tcPr>
          <w:p w:rsidR="0051353E" w:rsidRDefault="0051353E">
            <w:pPr>
              <w:pStyle w:val="TableText"/>
            </w:pPr>
          </w:p>
        </w:tc>
        <w:tc>
          <w:tcPr>
            <w:tcW w:w="6337" w:type="dxa"/>
            <w:gridSpan w:val="10"/>
          </w:tcPr>
          <w:p w:rsidR="0051353E" w:rsidRDefault="0051353E" w:rsidP="00101FF3">
            <w:pPr>
              <w:pStyle w:val="TableBlock"/>
              <w:numPr>
                <w:ilvl w:val="0"/>
                <w:numId w:val="23"/>
              </w:numPr>
              <w:tabs>
                <w:tab w:val="left" w:pos="624"/>
              </w:tabs>
              <w:rPr>
                <w:rtl/>
              </w:rPr>
            </w:pPr>
            <w:r>
              <w:rPr>
                <w:rFonts w:hint="cs"/>
                <w:rtl/>
              </w:rPr>
              <w:t>במקום סעיף קטן (ג) יבוא:</w:t>
            </w:r>
          </w:p>
        </w:tc>
      </w:tr>
      <w:tr w:rsidR="0051353E" w:rsidTr="00095D53">
        <w:trPr>
          <w:gridAfter w:val="1"/>
          <w:wAfter w:w="90" w:type="dxa"/>
          <w:cantSplit/>
          <w:trHeight w:val="60"/>
        </w:trPr>
        <w:tc>
          <w:tcPr>
            <w:tcW w:w="1838" w:type="dxa"/>
            <w:gridSpan w:val="2"/>
          </w:tcPr>
          <w:p w:rsidR="0051353E" w:rsidRDefault="0051353E">
            <w:pPr>
              <w:pStyle w:val="TableSideHeading"/>
            </w:pPr>
          </w:p>
        </w:tc>
        <w:tc>
          <w:tcPr>
            <w:tcW w:w="613" w:type="dxa"/>
            <w:gridSpan w:val="3"/>
          </w:tcPr>
          <w:p w:rsidR="0051353E" w:rsidRDefault="0051353E">
            <w:pPr>
              <w:pStyle w:val="TableText"/>
            </w:pPr>
          </w:p>
        </w:tc>
        <w:tc>
          <w:tcPr>
            <w:tcW w:w="612" w:type="dxa"/>
            <w:gridSpan w:val="4"/>
          </w:tcPr>
          <w:p w:rsidR="0051353E" w:rsidRDefault="0051353E">
            <w:pPr>
              <w:pStyle w:val="TableText"/>
            </w:pPr>
          </w:p>
        </w:tc>
        <w:tc>
          <w:tcPr>
            <w:tcW w:w="613" w:type="dxa"/>
            <w:gridSpan w:val="4"/>
          </w:tcPr>
          <w:p w:rsidR="0051353E" w:rsidRDefault="0051353E">
            <w:pPr>
              <w:pStyle w:val="TableText"/>
            </w:pPr>
          </w:p>
        </w:tc>
        <w:tc>
          <w:tcPr>
            <w:tcW w:w="5784" w:type="dxa"/>
            <w:gridSpan w:val="6"/>
          </w:tcPr>
          <w:p w:rsidR="0051353E" w:rsidRDefault="0051353E">
            <w:pPr>
              <w:pStyle w:val="TableBlock"/>
            </w:pPr>
            <w:r>
              <w:rPr>
                <w:rFonts w:hint="cs"/>
                <w:rtl/>
              </w:rPr>
              <w:t xml:space="preserve">"(ג) </w:t>
            </w:r>
            <w:r w:rsidRPr="00E92346">
              <w:rPr>
                <w:rtl/>
              </w:rPr>
              <w:t>סכום ששולם ביתר כאמור בסעיפים 87, 87א או 88(ב) והוראות סעיפים קטנים (א) או (ב) אינן חלות לגביו, והוחזר לאחר 30 ימים מיום תשלומו</w:t>
            </w:r>
            <w:r w:rsidR="007F77A9">
              <w:rPr>
                <w:rFonts w:hint="cs"/>
                <w:rtl/>
              </w:rPr>
              <w:t xml:space="preserve"> או יותר</w:t>
            </w:r>
            <w:r w:rsidRPr="00E92346">
              <w:rPr>
                <w:rtl/>
              </w:rPr>
              <w:t>, ייווספו עליו</w:t>
            </w:r>
            <w:r w:rsidR="00101FF3">
              <w:rPr>
                <w:rtl/>
              </w:rPr>
              <w:t xml:space="preserve"> הפרשי הצמדה וריבית מיום תשלומו"</w:t>
            </w:r>
            <w:r w:rsidR="00101FF3">
              <w:rPr>
                <w:rFonts w:hint="cs"/>
                <w:rtl/>
              </w:rPr>
              <w:t>.</w:t>
            </w:r>
          </w:p>
        </w:tc>
      </w:tr>
      <w:tr w:rsidR="007F5EFC" w:rsidTr="00095D53">
        <w:trPr>
          <w:cantSplit/>
          <w:trHeight w:val="60"/>
        </w:trPr>
        <w:tc>
          <w:tcPr>
            <w:tcW w:w="1854" w:type="dxa"/>
            <w:gridSpan w:val="3"/>
          </w:tcPr>
          <w:p w:rsidR="007F5EFC" w:rsidRDefault="00CC7927" w:rsidP="00113336">
            <w:pPr>
              <w:pStyle w:val="TableSideHeading"/>
              <w:keepLines w:val="0"/>
            </w:pPr>
            <w:r>
              <w:rPr>
                <w:rFonts w:hint="cs"/>
                <w:rtl/>
              </w:rPr>
              <w:t xml:space="preserve">תיקון </w:t>
            </w:r>
            <w:r w:rsidR="00C94FA8">
              <w:rPr>
                <w:rFonts w:hint="cs"/>
                <w:rtl/>
              </w:rPr>
              <w:t>חוק מס ערך מוסף (תיקון מס' 44)</w:t>
            </w:r>
          </w:p>
        </w:tc>
        <w:tc>
          <w:tcPr>
            <w:tcW w:w="619" w:type="dxa"/>
            <w:gridSpan w:val="3"/>
          </w:tcPr>
          <w:p w:rsidR="007F5EFC" w:rsidRDefault="007F5EFC" w:rsidP="007F5EFC">
            <w:pPr>
              <w:pStyle w:val="TableText"/>
              <w:keepLines w:val="0"/>
              <w:numPr>
                <w:ilvl w:val="0"/>
                <w:numId w:val="1"/>
              </w:numPr>
            </w:pPr>
          </w:p>
        </w:tc>
        <w:tc>
          <w:tcPr>
            <w:tcW w:w="7077" w:type="dxa"/>
            <w:gridSpan w:val="14"/>
          </w:tcPr>
          <w:p w:rsidR="007F5EFC" w:rsidRPr="00C34DE2" w:rsidRDefault="007F5EFC" w:rsidP="001D49F6">
            <w:pPr>
              <w:pStyle w:val="TableBlock"/>
              <w:keepLines w:val="0"/>
              <w:rPr>
                <w:rtl/>
              </w:rPr>
            </w:pPr>
            <w:r>
              <w:rPr>
                <w:rFonts w:hint="cs"/>
                <w:rtl/>
              </w:rPr>
              <w:t>בחוק מס ערך מוסף (תיקון מס' 44), התשע"ד-2014,</w:t>
            </w:r>
            <w:r w:rsidR="007F77A9">
              <w:rPr>
                <w:rFonts w:hint="cs"/>
                <w:rtl/>
              </w:rPr>
              <w:t xml:space="preserve"> </w:t>
            </w:r>
            <w:r w:rsidR="009123E4">
              <w:rPr>
                <w:rStyle w:val="a7"/>
                <w:rtl/>
              </w:rPr>
              <w:footnoteReference w:id="4"/>
            </w:r>
            <w:r>
              <w:rPr>
                <w:rFonts w:hint="cs"/>
                <w:rtl/>
              </w:rPr>
              <w:t xml:space="preserve"> בסעיף 6, בסעיף קטן (ב) - </w:t>
            </w:r>
          </w:p>
        </w:tc>
      </w:tr>
      <w:tr w:rsidR="007F5EFC" w:rsidTr="00095D53">
        <w:trPr>
          <w:cantSplit/>
          <w:trHeight w:val="60"/>
        </w:trPr>
        <w:tc>
          <w:tcPr>
            <w:tcW w:w="1854" w:type="dxa"/>
            <w:gridSpan w:val="3"/>
          </w:tcPr>
          <w:p w:rsidR="007F5EFC" w:rsidRDefault="007F5EFC">
            <w:pPr>
              <w:pStyle w:val="TableSideHeading"/>
            </w:pPr>
          </w:p>
        </w:tc>
        <w:tc>
          <w:tcPr>
            <w:tcW w:w="619" w:type="dxa"/>
            <w:gridSpan w:val="3"/>
          </w:tcPr>
          <w:p w:rsidR="007F5EFC" w:rsidRDefault="007F5EFC">
            <w:pPr>
              <w:pStyle w:val="TableText"/>
            </w:pPr>
          </w:p>
        </w:tc>
        <w:tc>
          <w:tcPr>
            <w:tcW w:w="618" w:type="dxa"/>
            <w:gridSpan w:val="4"/>
          </w:tcPr>
          <w:p w:rsidR="007F5EFC" w:rsidRPr="007F5EFC" w:rsidRDefault="007F5EFC">
            <w:pPr>
              <w:pStyle w:val="TableText"/>
            </w:pPr>
          </w:p>
        </w:tc>
        <w:tc>
          <w:tcPr>
            <w:tcW w:w="6459" w:type="dxa"/>
            <w:gridSpan w:val="10"/>
          </w:tcPr>
          <w:p w:rsidR="007F5EFC" w:rsidRDefault="007F5EFC" w:rsidP="007F5EFC">
            <w:pPr>
              <w:pStyle w:val="TableBlock"/>
              <w:numPr>
                <w:ilvl w:val="0"/>
                <w:numId w:val="22"/>
              </w:numPr>
              <w:tabs>
                <w:tab w:val="left" w:pos="624"/>
              </w:tabs>
            </w:pPr>
            <w:r>
              <w:rPr>
                <w:rFonts w:hint="cs"/>
                <w:rtl/>
              </w:rPr>
              <w:t xml:space="preserve">במקום </w:t>
            </w:r>
            <w:r>
              <w:rPr>
                <w:rtl/>
              </w:rPr>
              <w:t xml:space="preserve">ט' בטבת התשע"ה </w:t>
            </w:r>
            <w:r>
              <w:rPr>
                <w:rFonts w:hint="cs"/>
                <w:rtl/>
              </w:rPr>
              <w:t>(</w:t>
            </w:r>
            <w:r>
              <w:rPr>
                <w:rtl/>
              </w:rPr>
              <w:t>31 בדצמבר 2014</w:t>
            </w:r>
            <w:r>
              <w:rPr>
                <w:rFonts w:hint="cs"/>
                <w:rtl/>
              </w:rPr>
              <w:t>), יבוא "י"ט בטבת, תשע"ו (31 בדצמבר 2015)</w:t>
            </w:r>
          </w:p>
        </w:tc>
      </w:tr>
      <w:tr w:rsidR="008B2B50" w:rsidTr="00095D53">
        <w:trPr>
          <w:cantSplit/>
          <w:trHeight w:val="60"/>
        </w:trPr>
        <w:tc>
          <w:tcPr>
            <w:tcW w:w="1854" w:type="dxa"/>
            <w:gridSpan w:val="3"/>
          </w:tcPr>
          <w:p w:rsidR="008B2B50" w:rsidRDefault="008B2B50">
            <w:pPr>
              <w:pStyle w:val="TableSideHeading"/>
            </w:pPr>
          </w:p>
        </w:tc>
        <w:tc>
          <w:tcPr>
            <w:tcW w:w="619" w:type="dxa"/>
            <w:gridSpan w:val="3"/>
          </w:tcPr>
          <w:p w:rsidR="008B2B50" w:rsidRDefault="008B2B50" w:rsidP="008B2B50">
            <w:pPr>
              <w:pStyle w:val="TableText"/>
            </w:pPr>
          </w:p>
        </w:tc>
        <w:tc>
          <w:tcPr>
            <w:tcW w:w="618" w:type="dxa"/>
            <w:gridSpan w:val="4"/>
          </w:tcPr>
          <w:p w:rsidR="008B2B50" w:rsidRPr="007F5EFC" w:rsidRDefault="008B2B50">
            <w:pPr>
              <w:pStyle w:val="TableText"/>
            </w:pPr>
          </w:p>
        </w:tc>
        <w:tc>
          <w:tcPr>
            <w:tcW w:w="6459" w:type="dxa"/>
            <w:gridSpan w:val="10"/>
          </w:tcPr>
          <w:p w:rsidR="008B2B50" w:rsidRDefault="008B2B50" w:rsidP="007F5EFC">
            <w:pPr>
              <w:pStyle w:val="TableBlock"/>
              <w:numPr>
                <w:ilvl w:val="0"/>
                <w:numId w:val="22"/>
              </w:numPr>
              <w:tabs>
                <w:tab w:val="left" w:pos="624"/>
              </w:tabs>
              <w:rPr>
                <w:rtl/>
              </w:rPr>
            </w:pPr>
            <w:r>
              <w:rPr>
                <w:rFonts w:hint="cs"/>
                <w:rtl/>
              </w:rPr>
              <w:t xml:space="preserve">בפסקה </w:t>
            </w:r>
            <w:r w:rsidR="00E46731">
              <w:rPr>
                <w:rFonts w:hint="cs"/>
                <w:rtl/>
              </w:rPr>
              <w:t>(2), פסקת משנה (ג) - בטלה</w:t>
            </w:r>
          </w:p>
        </w:tc>
      </w:tr>
      <w:tr w:rsidR="00E46731" w:rsidTr="00095D53">
        <w:trPr>
          <w:cantSplit/>
          <w:trHeight w:val="60"/>
        </w:trPr>
        <w:tc>
          <w:tcPr>
            <w:tcW w:w="1854" w:type="dxa"/>
            <w:gridSpan w:val="3"/>
          </w:tcPr>
          <w:p w:rsidR="00E46731" w:rsidRDefault="00C94FA8" w:rsidP="00113336">
            <w:pPr>
              <w:pStyle w:val="TableSideHeading"/>
              <w:keepLines w:val="0"/>
            </w:pPr>
            <w:r>
              <w:rPr>
                <w:rFonts w:hint="cs"/>
                <w:rtl/>
              </w:rPr>
              <w:t>תחילה</w:t>
            </w:r>
          </w:p>
        </w:tc>
        <w:tc>
          <w:tcPr>
            <w:tcW w:w="619" w:type="dxa"/>
            <w:gridSpan w:val="3"/>
          </w:tcPr>
          <w:p w:rsidR="00E46731" w:rsidRDefault="00E46731" w:rsidP="00E46731">
            <w:pPr>
              <w:pStyle w:val="TableText"/>
              <w:keepLines w:val="0"/>
              <w:numPr>
                <w:ilvl w:val="0"/>
                <w:numId w:val="1"/>
              </w:numPr>
            </w:pPr>
          </w:p>
        </w:tc>
        <w:tc>
          <w:tcPr>
            <w:tcW w:w="7077" w:type="dxa"/>
            <w:gridSpan w:val="14"/>
          </w:tcPr>
          <w:p w:rsidR="00E46731" w:rsidRPr="00C34DE2" w:rsidRDefault="00DE4FF8" w:rsidP="00113336">
            <w:pPr>
              <w:pStyle w:val="TableBlock"/>
              <w:keepLines w:val="0"/>
            </w:pPr>
            <w:r>
              <w:rPr>
                <w:rFonts w:hint="cs"/>
                <w:rtl/>
              </w:rPr>
              <w:t xml:space="preserve">תחילתו  של </w:t>
            </w:r>
            <w:r w:rsidR="00E46731">
              <w:rPr>
                <w:rFonts w:hint="cs"/>
                <w:rtl/>
              </w:rPr>
              <w:t>סעיף 12</w:t>
            </w:r>
            <w:r w:rsidR="00101FF3">
              <w:rPr>
                <w:rFonts w:hint="cs"/>
                <w:rtl/>
              </w:rPr>
              <w:t xml:space="preserve"> ביום</w:t>
            </w:r>
            <w:r>
              <w:rPr>
                <w:rFonts w:hint="cs"/>
                <w:rtl/>
              </w:rPr>
              <w:t xml:space="preserve"> י' בטבת התשע"ה (1 בינואר 2015).</w:t>
            </w:r>
            <w:r w:rsidR="00101FF3">
              <w:rPr>
                <w:rFonts w:hint="cs"/>
                <w:rtl/>
              </w:rPr>
              <w:t xml:space="preserve"> </w:t>
            </w:r>
          </w:p>
        </w:tc>
      </w:tr>
    </w:tbl>
    <w:p w:rsidR="00BA0745" w:rsidRDefault="002C2D69" w:rsidP="001D49F6">
      <w:pPr>
        <w:pStyle w:val="HeadDivreiHesber"/>
      </w:pPr>
      <w:r w:rsidDel="002C2D69">
        <w:rPr>
          <w:rFonts w:hint="cs"/>
          <w:rtl/>
        </w:rPr>
        <w:t xml:space="preserve"> </w:t>
      </w:r>
    </w:p>
    <w:p w:rsidR="00FA60A0" w:rsidRPr="004073B4" w:rsidRDefault="00FA60A0">
      <w:pPr>
        <w:rPr>
          <w:sz w:val="28"/>
          <w:szCs w:val="28"/>
        </w:rPr>
      </w:pPr>
    </w:p>
    <w:sectPr w:rsidR="00FA60A0" w:rsidRPr="004073B4" w:rsidSect="007A7BEC">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467" w:rsidRDefault="00DD1467" w:rsidP="009123E4">
      <w:pPr>
        <w:spacing w:before="0" w:line="240" w:lineRule="auto"/>
      </w:pPr>
      <w:r>
        <w:separator/>
      </w:r>
    </w:p>
  </w:endnote>
  <w:endnote w:type="continuationSeparator" w:id="0">
    <w:p w:rsidR="00DD1467" w:rsidRDefault="00DD1467" w:rsidP="009123E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467" w:rsidRDefault="00DD1467" w:rsidP="009123E4">
      <w:pPr>
        <w:spacing w:before="0" w:line="240" w:lineRule="auto"/>
      </w:pPr>
      <w:r>
        <w:separator/>
      </w:r>
    </w:p>
  </w:footnote>
  <w:footnote w:type="continuationSeparator" w:id="0">
    <w:p w:rsidR="00DD1467" w:rsidRDefault="00DD1467" w:rsidP="009123E4">
      <w:pPr>
        <w:spacing w:before="0" w:line="240" w:lineRule="auto"/>
      </w:pPr>
      <w:r>
        <w:continuationSeparator/>
      </w:r>
    </w:p>
  </w:footnote>
  <w:footnote w:id="1">
    <w:p w:rsidR="00113336" w:rsidRDefault="00113336">
      <w:pPr>
        <w:pStyle w:val="a5"/>
        <w:rPr>
          <w:rtl/>
        </w:rPr>
      </w:pPr>
      <w:r>
        <w:rPr>
          <w:rStyle w:val="a7"/>
        </w:rPr>
        <w:footnoteRef/>
      </w:r>
      <w:r>
        <w:rPr>
          <w:rtl/>
        </w:rPr>
        <w:t xml:space="preserve"> </w:t>
      </w:r>
      <w:r>
        <w:rPr>
          <w:rFonts w:hint="cs"/>
          <w:rtl/>
        </w:rPr>
        <w:t xml:space="preserve">ס"ח התשל"ו עמ' 239, </w:t>
      </w:r>
    </w:p>
  </w:footnote>
  <w:footnote w:id="2">
    <w:p w:rsidR="00113336" w:rsidRDefault="00113336">
      <w:pPr>
        <w:pStyle w:val="a5"/>
        <w:rPr>
          <w:rtl/>
        </w:rPr>
      </w:pPr>
      <w:r>
        <w:rPr>
          <w:rStyle w:val="a7"/>
        </w:rPr>
        <w:footnoteRef/>
      </w:r>
      <w:r>
        <w:rPr>
          <w:rtl/>
        </w:rPr>
        <w:t xml:space="preserve"> </w:t>
      </w:r>
      <w:r>
        <w:rPr>
          <w:rFonts w:hint="cs"/>
          <w:rtl/>
        </w:rPr>
        <w:t>ס"ח התשכ"ג, עמ' 405</w:t>
      </w:r>
    </w:p>
  </w:footnote>
  <w:footnote w:id="3">
    <w:p w:rsidR="00113336" w:rsidRDefault="00113336">
      <w:pPr>
        <w:pStyle w:val="a5"/>
      </w:pPr>
      <w:r>
        <w:rPr>
          <w:rStyle w:val="a7"/>
        </w:rPr>
        <w:footnoteRef/>
      </w:r>
      <w:r>
        <w:rPr>
          <w:rtl/>
        </w:rPr>
        <w:t xml:space="preserve"> </w:t>
      </w:r>
      <w:r>
        <w:rPr>
          <w:rFonts w:hint="cs"/>
          <w:rtl/>
        </w:rPr>
        <w:t>ס"ח התשמ"א, עמ' 38</w:t>
      </w:r>
    </w:p>
  </w:footnote>
  <w:footnote w:id="4">
    <w:p w:rsidR="00113336" w:rsidRDefault="00113336">
      <w:pPr>
        <w:pStyle w:val="a5"/>
      </w:pPr>
      <w:r>
        <w:rPr>
          <w:rStyle w:val="a7"/>
        </w:rPr>
        <w:footnoteRef/>
      </w:r>
      <w:r>
        <w:rPr>
          <w:rtl/>
        </w:rPr>
        <w:t xml:space="preserve"> </w:t>
      </w:r>
      <w:r>
        <w:rPr>
          <w:rFonts w:hint="cs"/>
          <w:rtl/>
        </w:rPr>
        <w:t>ס"ח התשע"ד עמ'</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05095E9F"/>
    <w:multiLevelType w:val="hybridMultilevel"/>
    <w:tmpl w:val="A9ACAB48"/>
    <w:lvl w:ilvl="0" w:tplc="4A228DF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31048"/>
    <w:multiLevelType w:val="hybridMultilevel"/>
    <w:tmpl w:val="BBBCCAEA"/>
    <w:lvl w:ilvl="0" w:tplc="26026D1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61384"/>
    <w:multiLevelType w:val="hybridMultilevel"/>
    <w:tmpl w:val="BBAAF16E"/>
    <w:lvl w:ilvl="0" w:tplc="AAEA5F1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7E2BB6"/>
    <w:multiLevelType w:val="hybridMultilevel"/>
    <w:tmpl w:val="57604FE4"/>
    <w:lvl w:ilvl="0" w:tplc="8BB8777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812214"/>
    <w:multiLevelType w:val="hybridMultilevel"/>
    <w:tmpl w:val="35A0C81C"/>
    <w:lvl w:ilvl="0" w:tplc="3D149D1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14BE4"/>
    <w:multiLevelType w:val="hybridMultilevel"/>
    <w:tmpl w:val="7A14E6AC"/>
    <w:lvl w:ilvl="0" w:tplc="2B0A741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E15A73"/>
    <w:multiLevelType w:val="hybridMultilevel"/>
    <w:tmpl w:val="72C6A18E"/>
    <w:lvl w:ilvl="0" w:tplc="AE9E583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263070"/>
    <w:multiLevelType w:val="hybridMultilevel"/>
    <w:tmpl w:val="FC5E4C72"/>
    <w:lvl w:ilvl="0" w:tplc="802EF1A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69403B"/>
    <w:multiLevelType w:val="hybridMultilevel"/>
    <w:tmpl w:val="5FC6C968"/>
    <w:lvl w:ilvl="0" w:tplc="32B0E51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E158A8"/>
    <w:multiLevelType w:val="hybridMultilevel"/>
    <w:tmpl w:val="B810B592"/>
    <w:lvl w:ilvl="0" w:tplc="6024D8F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6F286B"/>
    <w:multiLevelType w:val="hybridMultilevel"/>
    <w:tmpl w:val="B47A3F38"/>
    <w:lvl w:ilvl="0" w:tplc="4C3E3B9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7B7ACF"/>
    <w:multiLevelType w:val="hybridMultilevel"/>
    <w:tmpl w:val="768EAD44"/>
    <w:lvl w:ilvl="0" w:tplc="D7E872E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D24149"/>
    <w:multiLevelType w:val="hybridMultilevel"/>
    <w:tmpl w:val="929E3FFC"/>
    <w:lvl w:ilvl="0" w:tplc="C692731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1A3A95"/>
    <w:multiLevelType w:val="hybridMultilevel"/>
    <w:tmpl w:val="535EC51C"/>
    <w:lvl w:ilvl="0" w:tplc="FECA314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CB0D71"/>
    <w:multiLevelType w:val="hybridMultilevel"/>
    <w:tmpl w:val="ACCE0C80"/>
    <w:lvl w:ilvl="0" w:tplc="CCF4277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41366A"/>
    <w:multiLevelType w:val="hybridMultilevel"/>
    <w:tmpl w:val="7CEAA478"/>
    <w:lvl w:ilvl="0" w:tplc="57D85F5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5B0D12"/>
    <w:multiLevelType w:val="hybridMultilevel"/>
    <w:tmpl w:val="3280B708"/>
    <w:lvl w:ilvl="0" w:tplc="3AA8956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F65B99"/>
    <w:multiLevelType w:val="hybridMultilevel"/>
    <w:tmpl w:val="A6B0408C"/>
    <w:lvl w:ilvl="0" w:tplc="FD1A7C9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707B55"/>
    <w:multiLevelType w:val="hybridMultilevel"/>
    <w:tmpl w:val="9BB4E7F4"/>
    <w:lvl w:ilvl="0" w:tplc="7FE4ACC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600DBA"/>
    <w:multiLevelType w:val="hybridMultilevel"/>
    <w:tmpl w:val="9A8EC460"/>
    <w:lvl w:ilvl="0" w:tplc="DE72501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4"/>
  </w:num>
  <w:num w:numId="4">
    <w:abstractNumId w:val="20"/>
  </w:num>
  <w:num w:numId="5">
    <w:abstractNumId w:val="21"/>
  </w:num>
  <w:num w:numId="6">
    <w:abstractNumId w:val="17"/>
  </w:num>
  <w:num w:numId="7">
    <w:abstractNumId w:val="2"/>
  </w:num>
  <w:num w:numId="8">
    <w:abstractNumId w:val="15"/>
  </w:num>
  <w:num w:numId="9">
    <w:abstractNumId w:val="11"/>
  </w:num>
  <w:num w:numId="10">
    <w:abstractNumId w:val="5"/>
  </w:num>
  <w:num w:numId="11">
    <w:abstractNumId w:val="16"/>
  </w:num>
  <w:num w:numId="12">
    <w:abstractNumId w:val="1"/>
  </w:num>
  <w:num w:numId="13">
    <w:abstractNumId w:val="9"/>
  </w:num>
  <w:num w:numId="14">
    <w:abstractNumId w:val="7"/>
  </w:num>
  <w:num w:numId="15">
    <w:abstractNumId w:val="18"/>
  </w:num>
  <w:num w:numId="16">
    <w:abstractNumId w:val="23"/>
  </w:num>
  <w:num w:numId="17">
    <w:abstractNumId w:val="6"/>
  </w:num>
  <w:num w:numId="18">
    <w:abstractNumId w:val="8"/>
  </w:num>
  <w:num w:numId="19">
    <w:abstractNumId w:val="22"/>
  </w:num>
  <w:num w:numId="20">
    <w:abstractNumId w:val="13"/>
  </w:num>
  <w:num w:numId="21">
    <w:abstractNumId w:val="12"/>
  </w:num>
  <w:num w:numId="22">
    <w:abstractNumId w:val="14"/>
  </w:num>
  <w:num w:numId="23">
    <w:abstractNumId w:val="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745"/>
    <w:rsid w:val="00006213"/>
    <w:rsid w:val="00015F02"/>
    <w:rsid w:val="00063844"/>
    <w:rsid w:val="000842D2"/>
    <w:rsid w:val="00095D53"/>
    <w:rsid w:val="000D403A"/>
    <w:rsid w:val="000E0318"/>
    <w:rsid w:val="00101FF3"/>
    <w:rsid w:val="00113336"/>
    <w:rsid w:val="00122107"/>
    <w:rsid w:val="001355BA"/>
    <w:rsid w:val="0017475B"/>
    <w:rsid w:val="001C1BB4"/>
    <w:rsid w:val="001C7283"/>
    <w:rsid w:val="001D49F6"/>
    <w:rsid w:val="001F3E60"/>
    <w:rsid w:val="00225D1A"/>
    <w:rsid w:val="00240081"/>
    <w:rsid w:val="002441E2"/>
    <w:rsid w:val="00286A55"/>
    <w:rsid w:val="002B1196"/>
    <w:rsid w:val="002B1CF4"/>
    <w:rsid w:val="002B25FD"/>
    <w:rsid w:val="002C22F2"/>
    <w:rsid w:val="002C2D69"/>
    <w:rsid w:val="002D1986"/>
    <w:rsid w:val="002E6E0E"/>
    <w:rsid w:val="002F5C9D"/>
    <w:rsid w:val="003015A3"/>
    <w:rsid w:val="0030503B"/>
    <w:rsid w:val="00307119"/>
    <w:rsid w:val="00325824"/>
    <w:rsid w:val="00325BFD"/>
    <w:rsid w:val="00331553"/>
    <w:rsid w:val="00346F2B"/>
    <w:rsid w:val="00366A74"/>
    <w:rsid w:val="00394FE6"/>
    <w:rsid w:val="003A5B7D"/>
    <w:rsid w:val="003D36B5"/>
    <w:rsid w:val="003D5C96"/>
    <w:rsid w:val="00407090"/>
    <w:rsid w:val="004073B4"/>
    <w:rsid w:val="00452480"/>
    <w:rsid w:val="00484C50"/>
    <w:rsid w:val="00484C60"/>
    <w:rsid w:val="004C503D"/>
    <w:rsid w:val="004D4690"/>
    <w:rsid w:val="004F34A3"/>
    <w:rsid w:val="00501DB8"/>
    <w:rsid w:val="00503BCA"/>
    <w:rsid w:val="0051353E"/>
    <w:rsid w:val="00526E41"/>
    <w:rsid w:val="0053534D"/>
    <w:rsid w:val="005504B4"/>
    <w:rsid w:val="005775A9"/>
    <w:rsid w:val="00596B12"/>
    <w:rsid w:val="005B1390"/>
    <w:rsid w:val="005B71AB"/>
    <w:rsid w:val="005C3A9C"/>
    <w:rsid w:val="005C7D9B"/>
    <w:rsid w:val="005F17E6"/>
    <w:rsid w:val="00600F90"/>
    <w:rsid w:val="0066421B"/>
    <w:rsid w:val="0067739A"/>
    <w:rsid w:val="00686D69"/>
    <w:rsid w:val="0069745A"/>
    <w:rsid w:val="006B0FB2"/>
    <w:rsid w:val="006C5915"/>
    <w:rsid w:val="00702F9A"/>
    <w:rsid w:val="007160B9"/>
    <w:rsid w:val="00722EDE"/>
    <w:rsid w:val="0073683D"/>
    <w:rsid w:val="0075005F"/>
    <w:rsid w:val="0075761B"/>
    <w:rsid w:val="00774582"/>
    <w:rsid w:val="00776110"/>
    <w:rsid w:val="00781B95"/>
    <w:rsid w:val="00784168"/>
    <w:rsid w:val="00791A85"/>
    <w:rsid w:val="007A752D"/>
    <w:rsid w:val="007A7BEC"/>
    <w:rsid w:val="007E05DF"/>
    <w:rsid w:val="007E0EEE"/>
    <w:rsid w:val="007F2E35"/>
    <w:rsid w:val="007F5EFC"/>
    <w:rsid w:val="007F71E7"/>
    <w:rsid w:val="007F77A9"/>
    <w:rsid w:val="00830BEB"/>
    <w:rsid w:val="0084066D"/>
    <w:rsid w:val="0085608E"/>
    <w:rsid w:val="00857F0E"/>
    <w:rsid w:val="008613E3"/>
    <w:rsid w:val="00862390"/>
    <w:rsid w:val="008B2B50"/>
    <w:rsid w:val="008C55A6"/>
    <w:rsid w:val="008D2313"/>
    <w:rsid w:val="008E2745"/>
    <w:rsid w:val="008F5243"/>
    <w:rsid w:val="009123E4"/>
    <w:rsid w:val="009328E8"/>
    <w:rsid w:val="00947463"/>
    <w:rsid w:val="009609DE"/>
    <w:rsid w:val="00961622"/>
    <w:rsid w:val="00977598"/>
    <w:rsid w:val="00992D65"/>
    <w:rsid w:val="009D17CE"/>
    <w:rsid w:val="009F60F6"/>
    <w:rsid w:val="00A05231"/>
    <w:rsid w:val="00A1335A"/>
    <w:rsid w:val="00A14C56"/>
    <w:rsid w:val="00A35328"/>
    <w:rsid w:val="00A63E35"/>
    <w:rsid w:val="00A669DA"/>
    <w:rsid w:val="00AA113C"/>
    <w:rsid w:val="00AA4FB9"/>
    <w:rsid w:val="00AB1C73"/>
    <w:rsid w:val="00AE5271"/>
    <w:rsid w:val="00AF2E40"/>
    <w:rsid w:val="00B06ED7"/>
    <w:rsid w:val="00B364DA"/>
    <w:rsid w:val="00B53163"/>
    <w:rsid w:val="00B906EF"/>
    <w:rsid w:val="00B90B92"/>
    <w:rsid w:val="00BA0745"/>
    <w:rsid w:val="00BB7BAA"/>
    <w:rsid w:val="00BF3607"/>
    <w:rsid w:val="00BF583B"/>
    <w:rsid w:val="00BF6FF2"/>
    <w:rsid w:val="00C1119A"/>
    <w:rsid w:val="00C40A2C"/>
    <w:rsid w:val="00C432E6"/>
    <w:rsid w:val="00C94FA8"/>
    <w:rsid w:val="00CA5258"/>
    <w:rsid w:val="00CB4EC6"/>
    <w:rsid w:val="00CC7927"/>
    <w:rsid w:val="00D02C8D"/>
    <w:rsid w:val="00D11761"/>
    <w:rsid w:val="00D12BF2"/>
    <w:rsid w:val="00D1368D"/>
    <w:rsid w:val="00D230A8"/>
    <w:rsid w:val="00D331FF"/>
    <w:rsid w:val="00D40D44"/>
    <w:rsid w:val="00D43584"/>
    <w:rsid w:val="00D75D5B"/>
    <w:rsid w:val="00DB3A4C"/>
    <w:rsid w:val="00DC67B0"/>
    <w:rsid w:val="00DD01E0"/>
    <w:rsid w:val="00DD0983"/>
    <w:rsid w:val="00DD1467"/>
    <w:rsid w:val="00DD1803"/>
    <w:rsid w:val="00DE4FF8"/>
    <w:rsid w:val="00E24BD4"/>
    <w:rsid w:val="00E2783A"/>
    <w:rsid w:val="00E3014C"/>
    <w:rsid w:val="00E3064E"/>
    <w:rsid w:val="00E3362E"/>
    <w:rsid w:val="00E46731"/>
    <w:rsid w:val="00E57746"/>
    <w:rsid w:val="00E87019"/>
    <w:rsid w:val="00E92346"/>
    <w:rsid w:val="00EA60FE"/>
    <w:rsid w:val="00EB2015"/>
    <w:rsid w:val="00EB45BC"/>
    <w:rsid w:val="00EC1E0C"/>
    <w:rsid w:val="00EC39C2"/>
    <w:rsid w:val="00ED6DA5"/>
    <w:rsid w:val="00EE26C2"/>
    <w:rsid w:val="00F31C86"/>
    <w:rsid w:val="00F433E2"/>
    <w:rsid w:val="00F529E1"/>
    <w:rsid w:val="00F66E21"/>
    <w:rsid w:val="00F83B22"/>
    <w:rsid w:val="00F95522"/>
    <w:rsid w:val="00F96F23"/>
    <w:rsid w:val="00FA5EB2"/>
    <w:rsid w:val="00FA60A0"/>
    <w:rsid w:val="00FB371E"/>
    <w:rsid w:val="00FD7F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745"/>
    <w:pPr>
      <w:widowControl w:val="0"/>
      <w:autoSpaceDE w:val="0"/>
      <w:autoSpaceDN w:val="0"/>
      <w:bidi/>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paragraph" w:styleId="2">
    <w:name w:val="heading 2"/>
    <w:basedOn w:val="a"/>
    <w:next w:val="a"/>
    <w:link w:val="20"/>
    <w:uiPriority w:val="9"/>
    <w:unhideWhenUsed/>
    <w:qFormat/>
    <w:rsid w:val="00095D5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rsid w:val="00BA0745"/>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A0745"/>
  </w:style>
  <w:style w:type="paragraph" w:customStyle="1" w:styleId="TableBlock">
    <w:name w:val="Table Block"/>
    <w:basedOn w:val="TableText"/>
    <w:rsid w:val="00BA0745"/>
    <w:pPr>
      <w:ind w:right="0"/>
      <w:jc w:val="both"/>
    </w:pPr>
  </w:style>
  <w:style w:type="paragraph" w:customStyle="1" w:styleId="TableHead">
    <w:name w:val="Table Head"/>
    <w:basedOn w:val="TableText"/>
    <w:rsid w:val="00BA0745"/>
    <w:pPr>
      <w:ind w:right="0"/>
      <w:jc w:val="center"/>
    </w:pPr>
    <w:rPr>
      <w:b/>
      <w:bCs/>
    </w:rPr>
  </w:style>
  <w:style w:type="paragraph" w:customStyle="1" w:styleId="HeadMitparsemetBaze">
    <w:name w:val="Head MitparsemetBaze"/>
    <w:basedOn w:val="a"/>
    <w:rsid w:val="00BA0745"/>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A0745"/>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sberWriters">
    <w:name w:val="Hesber Writers"/>
    <w:basedOn w:val="Hesber"/>
    <w:rsid w:val="00BA0745"/>
    <w:pPr>
      <w:spacing w:before="120" w:after="6000"/>
      <w:ind w:left="1418" w:firstLine="0"/>
      <w:jc w:val="right"/>
    </w:pPr>
    <w:rPr>
      <w:b/>
      <w:bCs/>
    </w:rPr>
  </w:style>
  <w:style w:type="paragraph" w:customStyle="1" w:styleId="Hesber1st">
    <w:name w:val="Hesber 1st"/>
    <w:basedOn w:val="Hesber"/>
    <w:rsid w:val="00BA0745"/>
    <w:pPr>
      <w:tabs>
        <w:tab w:val="left" w:pos="680"/>
        <w:tab w:val="left" w:pos="1020"/>
      </w:tabs>
      <w:ind w:firstLine="0"/>
    </w:pPr>
  </w:style>
  <w:style w:type="paragraph" w:customStyle="1" w:styleId="HeadDivreiHesber">
    <w:name w:val="Head DivreiHesber"/>
    <w:basedOn w:val="a"/>
    <w:rsid w:val="00BA0745"/>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HeadHatzaotHok4Futer">
    <w:name w:val="Head HatzaotHok4Futer"/>
    <w:basedOn w:val="HeadHatzaotHok"/>
    <w:rsid w:val="00BA0745"/>
    <w:pPr>
      <w:spacing w:before="120" w:after="120"/>
    </w:pPr>
    <w:rPr>
      <w:color w:val="FF0000"/>
      <w:w w:val="80"/>
    </w:rPr>
  </w:style>
  <w:style w:type="paragraph" w:styleId="a3">
    <w:name w:val="endnote text"/>
    <w:basedOn w:val="a"/>
    <w:link w:val="a4"/>
    <w:semiHidden/>
    <w:rsid w:val="00BA0745"/>
    <w:pPr>
      <w:ind w:left="227" w:hanging="227"/>
    </w:pPr>
    <w:rPr>
      <w:sz w:val="14"/>
      <w:szCs w:val="22"/>
    </w:rPr>
  </w:style>
  <w:style w:type="character" w:customStyle="1" w:styleId="a4">
    <w:name w:val="טקסט הערת סיום תו"/>
    <w:basedOn w:val="a0"/>
    <w:link w:val="a3"/>
    <w:semiHidden/>
    <w:rsid w:val="00BA0745"/>
    <w:rPr>
      <w:rFonts w:ascii="Hadasa Roso SL" w:eastAsia="MS Mincho" w:hAnsi="Hadasa Roso SL" w:cs="Hadasa Roso SL"/>
      <w:color w:val="000000"/>
      <w:spacing w:val="1"/>
      <w:sz w:val="14"/>
      <w:lang w:eastAsia="ja-JP"/>
    </w:rPr>
  </w:style>
  <w:style w:type="paragraph" w:customStyle="1" w:styleId="TableInnerSideHeading">
    <w:name w:val="Table InnerSideHeading"/>
    <w:basedOn w:val="TableSideHeading"/>
    <w:rsid w:val="00BA0745"/>
  </w:style>
  <w:style w:type="paragraph" w:customStyle="1" w:styleId="Hesber">
    <w:name w:val="Hesber"/>
    <w:basedOn w:val="a"/>
    <w:rsid w:val="00BA0745"/>
    <w:pPr>
      <w:snapToGrid w:val="0"/>
      <w:spacing w:before="0" w:line="360" w:lineRule="auto"/>
    </w:pPr>
    <w:rPr>
      <w:rFonts w:ascii="Arial" w:eastAsia="Arial Unicode MS" w:hAnsi="Arial" w:cs="David"/>
      <w:snapToGrid w:val="0"/>
      <w:spacing w:val="0"/>
      <w:sz w:val="20"/>
      <w:szCs w:val="26"/>
    </w:rPr>
  </w:style>
  <w:style w:type="paragraph" w:styleId="a5">
    <w:name w:val="footnote text"/>
    <w:basedOn w:val="a"/>
    <w:link w:val="a6"/>
    <w:autoRedefine/>
    <w:semiHidden/>
    <w:rsid w:val="00BA0745"/>
    <w:pPr>
      <w:snapToGrid w:val="0"/>
      <w:spacing w:before="0" w:line="240" w:lineRule="auto"/>
      <w:ind w:left="227" w:hanging="227"/>
      <w:jc w:val="left"/>
    </w:pPr>
    <w:rPr>
      <w:rFonts w:ascii="Arial" w:eastAsia="Arial Unicode MS" w:hAnsi="Arial" w:cs="David"/>
      <w:snapToGrid w:val="0"/>
      <w:spacing w:val="0"/>
      <w:sz w:val="14"/>
      <w:szCs w:val="20"/>
    </w:rPr>
  </w:style>
  <w:style w:type="character" w:customStyle="1" w:styleId="a6">
    <w:name w:val="טקסט הערת שוליים תו"/>
    <w:basedOn w:val="a0"/>
    <w:link w:val="a5"/>
    <w:semiHidden/>
    <w:rsid w:val="00BA0745"/>
    <w:rPr>
      <w:rFonts w:ascii="Arial" w:eastAsia="Arial Unicode MS" w:hAnsi="Arial" w:cs="David"/>
      <w:snapToGrid w:val="0"/>
      <w:color w:val="000000"/>
      <w:sz w:val="14"/>
      <w:szCs w:val="20"/>
      <w:lang w:eastAsia="ja-JP"/>
    </w:rPr>
  </w:style>
  <w:style w:type="character" w:styleId="a7">
    <w:name w:val="footnote reference"/>
    <w:aliases w:val="Footnote Reference"/>
    <w:basedOn w:val="a0"/>
    <w:semiHidden/>
    <w:rsid w:val="00BA0745"/>
    <w:rPr>
      <w:vertAlign w:val="superscript"/>
    </w:rPr>
  </w:style>
  <w:style w:type="paragraph" w:customStyle="1" w:styleId="HesberHeading">
    <w:name w:val="Hesber Heading"/>
    <w:basedOn w:val="Hesber"/>
    <w:rsid w:val="00BA0745"/>
    <w:pPr>
      <w:tabs>
        <w:tab w:val="left" w:pos="624"/>
        <w:tab w:val="left" w:pos="1247"/>
      </w:tabs>
      <w:ind w:firstLine="0"/>
    </w:pPr>
    <w:rPr>
      <w:b/>
      <w:bCs/>
    </w:rPr>
  </w:style>
  <w:style w:type="character" w:styleId="a8">
    <w:name w:val="endnote reference"/>
    <w:basedOn w:val="a0"/>
    <w:semiHidden/>
    <w:rsid w:val="00BA0745"/>
    <w:rPr>
      <w:vertAlign w:val="superscript"/>
    </w:rPr>
  </w:style>
  <w:style w:type="paragraph" w:customStyle="1" w:styleId="TableBlockOutdent">
    <w:name w:val="Table BlockOutdent"/>
    <w:basedOn w:val="TableBlock"/>
    <w:rsid w:val="00BA0745"/>
    <w:pPr>
      <w:ind w:left="624" w:hanging="624"/>
    </w:pPr>
  </w:style>
  <w:style w:type="paragraph" w:styleId="a9">
    <w:name w:val="header"/>
    <w:basedOn w:val="a"/>
    <w:link w:val="aa"/>
    <w:rsid w:val="00BA0745"/>
    <w:pPr>
      <w:tabs>
        <w:tab w:val="center" w:pos="4153"/>
        <w:tab w:val="right" w:pos="8306"/>
      </w:tabs>
    </w:pPr>
  </w:style>
  <w:style w:type="character" w:customStyle="1" w:styleId="aa">
    <w:name w:val="כותרת עליונה תו"/>
    <w:basedOn w:val="a0"/>
    <w:link w:val="a9"/>
    <w:rsid w:val="00BA0745"/>
    <w:rPr>
      <w:rFonts w:ascii="Hadasa Roso SL" w:eastAsia="MS Mincho" w:hAnsi="Hadasa Roso SL" w:cs="Hadasa Roso SL"/>
      <w:color w:val="000000"/>
      <w:spacing w:val="1"/>
      <w:sz w:val="17"/>
      <w:szCs w:val="17"/>
      <w:lang w:eastAsia="ja-JP"/>
    </w:rPr>
  </w:style>
  <w:style w:type="paragraph" w:styleId="ab">
    <w:name w:val="footer"/>
    <w:basedOn w:val="a"/>
    <w:link w:val="ac"/>
    <w:rsid w:val="00BA0745"/>
    <w:pPr>
      <w:tabs>
        <w:tab w:val="center" w:pos="4153"/>
        <w:tab w:val="right" w:pos="8306"/>
      </w:tabs>
    </w:pPr>
  </w:style>
  <w:style w:type="character" w:customStyle="1" w:styleId="ac">
    <w:name w:val="כותרת תחתונה תו"/>
    <w:basedOn w:val="a0"/>
    <w:link w:val="ab"/>
    <w:rsid w:val="00BA0745"/>
    <w:rPr>
      <w:rFonts w:ascii="Hadasa Roso SL" w:eastAsia="MS Mincho" w:hAnsi="Hadasa Roso SL" w:cs="Hadasa Roso SL"/>
      <w:color w:val="000000"/>
      <w:spacing w:val="1"/>
      <w:sz w:val="17"/>
      <w:szCs w:val="17"/>
      <w:lang w:eastAsia="ja-JP"/>
    </w:rPr>
  </w:style>
  <w:style w:type="character" w:styleId="ad">
    <w:name w:val="page number"/>
    <w:basedOn w:val="a0"/>
    <w:rsid w:val="00BA0745"/>
  </w:style>
  <w:style w:type="paragraph" w:customStyle="1" w:styleId="Cover1-Reshumot">
    <w:name w:val="Cover 1-Reshumot"/>
    <w:basedOn w:val="a"/>
    <w:rsid w:val="00BA0745"/>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A0745"/>
    <w:rPr>
      <w:sz w:val="36"/>
      <w:szCs w:val="52"/>
    </w:rPr>
  </w:style>
  <w:style w:type="paragraph" w:customStyle="1" w:styleId="Cover3-Haknesset">
    <w:name w:val="Cover 3-Haknesset"/>
    <w:basedOn w:val="Cover1-Reshumot"/>
    <w:rsid w:val="00BA0745"/>
    <w:rPr>
      <w:b/>
      <w:bCs/>
      <w:spacing w:val="60"/>
    </w:rPr>
  </w:style>
  <w:style w:type="paragraph" w:customStyle="1" w:styleId="Cover4-Date">
    <w:name w:val="Cover 4-Date"/>
    <w:basedOn w:val="a"/>
    <w:rsid w:val="00BA0745"/>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Ragil">
    <w:name w:val="Ragil"/>
    <w:basedOn w:val="a"/>
    <w:rsid w:val="00BA0745"/>
    <w:pPr>
      <w:snapToGrid w:val="0"/>
      <w:spacing w:before="0" w:line="360" w:lineRule="auto"/>
      <w:jc w:val="left"/>
    </w:pPr>
    <w:rPr>
      <w:rFonts w:ascii="Arial" w:eastAsia="Arial Unicode MS" w:hAnsi="Arial" w:cs="David"/>
      <w:snapToGrid w:val="0"/>
      <w:spacing w:val="0"/>
      <w:sz w:val="20"/>
      <w:szCs w:val="26"/>
    </w:rPr>
  </w:style>
  <w:style w:type="character" w:styleId="ae">
    <w:name w:val="annotation reference"/>
    <w:basedOn w:val="a0"/>
    <w:uiPriority w:val="99"/>
    <w:semiHidden/>
    <w:unhideWhenUsed/>
    <w:rsid w:val="0085608E"/>
    <w:rPr>
      <w:sz w:val="16"/>
      <w:szCs w:val="16"/>
    </w:rPr>
  </w:style>
  <w:style w:type="paragraph" w:styleId="af">
    <w:name w:val="annotation text"/>
    <w:basedOn w:val="a"/>
    <w:link w:val="af0"/>
    <w:uiPriority w:val="99"/>
    <w:semiHidden/>
    <w:unhideWhenUsed/>
    <w:rsid w:val="0085608E"/>
    <w:pPr>
      <w:spacing w:line="240" w:lineRule="auto"/>
    </w:pPr>
    <w:rPr>
      <w:sz w:val="20"/>
      <w:szCs w:val="20"/>
    </w:rPr>
  </w:style>
  <w:style w:type="character" w:customStyle="1" w:styleId="af0">
    <w:name w:val="טקסט הערה תו"/>
    <w:basedOn w:val="a0"/>
    <w:link w:val="af"/>
    <w:uiPriority w:val="99"/>
    <w:semiHidden/>
    <w:rsid w:val="0085608E"/>
    <w:rPr>
      <w:rFonts w:ascii="Hadasa Roso SL" w:eastAsia="MS Mincho" w:hAnsi="Hadasa Roso SL" w:cs="Hadasa Roso SL"/>
      <w:color w:val="000000"/>
      <w:spacing w:val="1"/>
      <w:sz w:val="20"/>
      <w:szCs w:val="20"/>
      <w:lang w:eastAsia="ja-JP"/>
    </w:rPr>
  </w:style>
  <w:style w:type="paragraph" w:styleId="af1">
    <w:name w:val="annotation subject"/>
    <w:basedOn w:val="af"/>
    <w:next w:val="af"/>
    <w:link w:val="af2"/>
    <w:uiPriority w:val="99"/>
    <w:semiHidden/>
    <w:unhideWhenUsed/>
    <w:rsid w:val="0085608E"/>
    <w:rPr>
      <w:b/>
      <w:bCs/>
    </w:rPr>
  </w:style>
  <w:style w:type="character" w:customStyle="1" w:styleId="af2">
    <w:name w:val="נושא הערה תו"/>
    <w:basedOn w:val="af0"/>
    <w:link w:val="af1"/>
    <w:uiPriority w:val="99"/>
    <w:semiHidden/>
    <w:rsid w:val="0085608E"/>
    <w:rPr>
      <w:rFonts w:ascii="Hadasa Roso SL" w:eastAsia="MS Mincho" w:hAnsi="Hadasa Roso SL" w:cs="Hadasa Roso SL"/>
      <w:b/>
      <w:bCs/>
      <w:color w:val="000000"/>
      <w:spacing w:val="1"/>
      <w:sz w:val="20"/>
      <w:szCs w:val="20"/>
      <w:lang w:eastAsia="ja-JP"/>
    </w:rPr>
  </w:style>
  <w:style w:type="paragraph" w:styleId="af3">
    <w:name w:val="Balloon Text"/>
    <w:basedOn w:val="a"/>
    <w:link w:val="af4"/>
    <w:uiPriority w:val="99"/>
    <w:semiHidden/>
    <w:unhideWhenUsed/>
    <w:rsid w:val="0085608E"/>
    <w:pPr>
      <w:spacing w:before="0" w:line="240" w:lineRule="auto"/>
    </w:pPr>
    <w:rPr>
      <w:rFonts w:ascii="Tahoma" w:hAnsi="Tahoma" w:cs="Tahoma"/>
      <w:sz w:val="16"/>
      <w:szCs w:val="16"/>
    </w:rPr>
  </w:style>
  <w:style w:type="character" w:customStyle="1" w:styleId="af4">
    <w:name w:val="טקסט בלונים תו"/>
    <w:basedOn w:val="a0"/>
    <w:link w:val="af3"/>
    <w:uiPriority w:val="99"/>
    <w:semiHidden/>
    <w:rsid w:val="0085608E"/>
    <w:rPr>
      <w:rFonts w:ascii="Tahoma" w:eastAsia="MS Mincho" w:hAnsi="Tahoma" w:cs="Tahoma"/>
      <w:color w:val="000000"/>
      <w:spacing w:val="1"/>
      <w:sz w:val="16"/>
      <w:szCs w:val="16"/>
      <w:lang w:eastAsia="ja-JP"/>
    </w:rPr>
  </w:style>
  <w:style w:type="character" w:customStyle="1" w:styleId="20">
    <w:name w:val="כותרת 2 תו"/>
    <w:basedOn w:val="a0"/>
    <w:link w:val="2"/>
    <w:uiPriority w:val="9"/>
    <w:rsid w:val="00095D53"/>
    <w:rPr>
      <w:rFonts w:asciiTheme="majorHAnsi" w:eastAsiaTheme="majorEastAsia" w:hAnsiTheme="majorHAnsi" w:cstheme="majorBidi"/>
      <w:b/>
      <w:bCs/>
      <w:color w:val="4F81BD" w:themeColor="accent1"/>
      <w:spacing w:val="1"/>
      <w:sz w:val="26"/>
      <w:szCs w:val="2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745"/>
    <w:pPr>
      <w:widowControl w:val="0"/>
      <w:autoSpaceDE w:val="0"/>
      <w:autoSpaceDN w:val="0"/>
      <w:bidi/>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paragraph" w:styleId="2">
    <w:name w:val="heading 2"/>
    <w:basedOn w:val="a"/>
    <w:next w:val="a"/>
    <w:link w:val="20"/>
    <w:uiPriority w:val="9"/>
    <w:unhideWhenUsed/>
    <w:qFormat/>
    <w:rsid w:val="00095D5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rsid w:val="00BA0745"/>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A0745"/>
  </w:style>
  <w:style w:type="paragraph" w:customStyle="1" w:styleId="TableBlock">
    <w:name w:val="Table Block"/>
    <w:basedOn w:val="TableText"/>
    <w:rsid w:val="00BA0745"/>
    <w:pPr>
      <w:ind w:right="0"/>
      <w:jc w:val="both"/>
    </w:pPr>
  </w:style>
  <w:style w:type="paragraph" w:customStyle="1" w:styleId="TableHead">
    <w:name w:val="Table Head"/>
    <w:basedOn w:val="TableText"/>
    <w:rsid w:val="00BA0745"/>
    <w:pPr>
      <w:ind w:right="0"/>
      <w:jc w:val="center"/>
    </w:pPr>
    <w:rPr>
      <w:b/>
      <w:bCs/>
    </w:rPr>
  </w:style>
  <w:style w:type="paragraph" w:customStyle="1" w:styleId="HeadMitparsemetBaze">
    <w:name w:val="Head MitparsemetBaze"/>
    <w:basedOn w:val="a"/>
    <w:rsid w:val="00BA0745"/>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A0745"/>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sberWriters">
    <w:name w:val="Hesber Writers"/>
    <w:basedOn w:val="Hesber"/>
    <w:rsid w:val="00BA0745"/>
    <w:pPr>
      <w:spacing w:before="120" w:after="6000"/>
      <w:ind w:left="1418" w:firstLine="0"/>
      <w:jc w:val="right"/>
    </w:pPr>
    <w:rPr>
      <w:b/>
      <w:bCs/>
    </w:rPr>
  </w:style>
  <w:style w:type="paragraph" w:customStyle="1" w:styleId="Hesber1st">
    <w:name w:val="Hesber 1st"/>
    <w:basedOn w:val="Hesber"/>
    <w:rsid w:val="00BA0745"/>
    <w:pPr>
      <w:tabs>
        <w:tab w:val="left" w:pos="680"/>
        <w:tab w:val="left" w:pos="1020"/>
      </w:tabs>
      <w:ind w:firstLine="0"/>
    </w:pPr>
  </w:style>
  <w:style w:type="paragraph" w:customStyle="1" w:styleId="HeadDivreiHesber">
    <w:name w:val="Head DivreiHesber"/>
    <w:basedOn w:val="a"/>
    <w:rsid w:val="00BA0745"/>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HeadHatzaotHok4Futer">
    <w:name w:val="Head HatzaotHok4Futer"/>
    <w:basedOn w:val="HeadHatzaotHok"/>
    <w:rsid w:val="00BA0745"/>
    <w:pPr>
      <w:spacing w:before="120" w:after="120"/>
    </w:pPr>
    <w:rPr>
      <w:color w:val="FF0000"/>
      <w:w w:val="80"/>
    </w:rPr>
  </w:style>
  <w:style w:type="paragraph" w:styleId="a3">
    <w:name w:val="endnote text"/>
    <w:basedOn w:val="a"/>
    <w:link w:val="a4"/>
    <w:semiHidden/>
    <w:rsid w:val="00BA0745"/>
    <w:pPr>
      <w:ind w:left="227" w:hanging="227"/>
    </w:pPr>
    <w:rPr>
      <w:sz w:val="14"/>
      <w:szCs w:val="22"/>
    </w:rPr>
  </w:style>
  <w:style w:type="character" w:customStyle="1" w:styleId="a4">
    <w:name w:val="טקסט הערת סיום תו"/>
    <w:basedOn w:val="a0"/>
    <w:link w:val="a3"/>
    <w:semiHidden/>
    <w:rsid w:val="00BA0745"/>
    <w:rPr>
      <w:rFonts w:ascii="Hadasa Roso SL" w:eastAsia="MS Mincho" w:hAnsi="Hadasa Roso SL" w:cs="Hadasa Roso SL"/>
      <w:color w:val="000000"/>
      <w:spacing w:val="1"/>
      <w:sz w:val="14"/>
      <w:lang w:eastAsia="ja-JP"/>
    </w:rPr>
  </w:style>
  <w:style w:type="paragraph" w:customStyle="1" w:styleId="TableInnerSideHeading">
    <w:name w:val="Table InnerSideHeading"/>
    <w:basedOn w:val="TableSideHeading"/>
    <w:rsid w:val="00BA0745"/>
  </w:style>
  <w:style w:type="paragraph" w:customStyle="1" w:styleId="Hesber">
    <w:name w:val="Hesber"/>
    <w:basedOn w:val="a"/>
    <w:rsid w:val="00BA0745"/>
    <w:pPr>
      <w:snapToGrid w:val="0"/>
      <w:spacing w:before="0" w:line="360" w:lineRule="auto"/>
    </w:pPr>
    <w:rPr>
      <w:rFonts w:ascii="Arial" w:eastAsia="Arial Unicode MS" w:hAnsi="Arial" w:cs="David"/>
      <w:snapToGrid w:val="0"/>
      <w:spacing w:val="0"/>
      <w:sz w:val="20"/>
      <w:szCs w:val="26"/>
    </w:rPr>
  </w:style>
  <w:style w:type="paragraph" w:styleId="a5">
    <w:name w:val="footnote text"/>
    <w:basedOn w:val="a"/>
    <w:link w:val="a6"/>
    <w:autoRedefine/>
    <w:semiHidden/>
    <w:rsid w:val="00BA0745"/>
    <w:pPr>
      <w:snapToGrid w:val="0"/>
      <w:spacing w:before="0" w:line="240" w:lineRule="auto"/>
      <w:ind w:left="227" w:hanging="227"/>
      <w:jc w:val="left"/>
    </w:pPr>
    <w:rPr>
      <w:rFonts w:ascii="Arial" w:eastAsia="Arial Unicode MS" w:hAnsi="Arial" w:cs="David"/>
      <w:snapToGrid w:val="0"/>
      <w:spacing w:val="0"/>
      <w:sz w:val="14"/>
      <w:szCs w:val="20"/>
    </w:rPr>
  </w:style>
  <w:style w:type="character" w:customStyle="1" w:styleId="a6">
    <w:name w:val="טקסט הערת שוליים תו"/>
    <w:basedOn w:val="a0"/>
    <w:link w:val="a5"/>
    <w:semiHidden/>
    <w:rsid w:val="00BA0745"/>
    <w:rPr>
      <w:rFonts w:ascii="Arial" w:eastAsia="Arial Unicode MS" w:hAnsi="Arial" w:cs="David"/>
      <w:snapToGrid w:val="0"/>
      <w:color w:val="000000"/>
      <w:sz w:val="14"/>
      <w:szCs w:val="20"/>
      <w:lang w:eastAsia="ja-JP"/>
    </w:rPr>
  </w:style>
  <w:style w:type="character" w:styleId="a7">
    <w:name w:val="footnote reference"/>
    <w:aliases w:val="Footnote Reference"/>
    <w:basedOn w:val="a0"/>
    <w:semiHidden/>
    <w:rsid w:val="00BA0745"/>
    <w:rPr>
      <w:vertAlign w:val="superscript"/>
    </w:rPr>
  </w:style>
  <w:style w:type="paragraph" w:customStyle="1" w:styleId="HesberHeading">
    <w:name w:val="Hesber Heading"/>
    <w:basedOn w:val="Hesber"/>
    <w:rsid w:val="00BA0745"/>
    <w:pPr>
      <w:tabs>
        <w:tab w:val="left" w:pos="624"/>
        <w:tab w:val="left" w:pos="1247"/>
      </w:tabs>
      <w:ind w:firstLine="0"/>
    </w:pPr>
    <w:rPr>
      <w:b/>
      <w:bCs/>
    </w:rPr>
  </w:style>
  <w:style w:type="character" w:styleId="a8">
    <w:name w:val="endnote reference"/>
    <w:basedOn w:val="a0"/>
    <w:semiHidden/>
    <w:rsid w:val="00BA0745"/>
    <w:rPr>
      <w:vertAlign w:val="superscript"/>
    </w:rPr>
  </w:style>
  <w:style w:type="paragraph" w:customStyle="1" w:styleId="TableBlockOutdent">
    <w:name w:val="Table BlockOutdent"/>
    <w:basedOn w:val="TableBlock"/>
    <w:rsid w:val="00BA0745"/>
    <w:pPr>
      <w:ind w:left="624" w:hanging="624"/>
    </w:pPr>
  </w:style>
  <w:style w:type="paragraph" w:styleId="a9">
    <w:name w:val="header"/>
    <w:basedOn w:val="a"/>
    <w:link w:val="aa"/>
    <w:rsid w:val="00BA0745"/>
    <w:pPr>
      <w:tabs>
        <w:tab w:val="center" w:pos="4153"/>
        <w:tab w:val="right" w:pos="8306"/>
      </w:tabs>
    </w:pPr>
  </w:style>
  <w:style w:type="character" w:customStyle="1" w:styleId="aa">
    <w:name w:val="כותרת עליונה תו"/>
    <w:basedOn w:val="a0"/>
    <w:link w:val="a9"/>
    <w:rsid w:val="00BA0745"/>
    <w:rPr>
      <w:rFonts w:ascii="Hadasa Roso SL" w:eastAsia="MS Mincho" w:hAnsi="Hadasa Roso SL" w:cs="Hadasa Roso SL"/>
      <w:color w:val="000000"/>
      <w:spacing w:val="1"/>
      <w:sz w:val="17"/>
      <w:szCs w:val="17"/>
      <w:lang w:eastAsia="ja-JP"/>
    </w:rPr>
  </w:style>
  <w:style w:type="paragraph" w:styleId="ab">
    <w:name w:val="footer"/>
    <w:basedOn w:val="a"/>
    <w:link w:val="ac"/>
    <w:rsid w:val="00BA0745"/>
    <w:pPr>
      <w:tabs>
        <w:tab w:val="center" w:pos="4153"/>
        <w:tab w:val="right" w:pos="8306"/>
      </w:tabs>
    </w:pPr>
  </w:style>
  <w:style w:type="character" w:customStyle="1" w:styleId="ac">
    <w:name w:val="כותרת תחתונה תו"/>
    <w:basedOn w:val="a0"/>
    <w:link w:val="ab"/>
    <w:rsid w:val="00BA0745"/>
    <w:rPr>
      <w:rFonts w:ascii="Hadasa Roso SL" w:eastAsia="MS Mincho" w:hAnsi="Hadasa Roso SL" w:cs="Hadasa Roso SL"/>
      <w:color w:val="000000"/>
      <w:spacing w:val="1"/>
      <w:sz w:val="17"/>
      <w:szCs w:val="17"/>
      <w:lang w:eastAsia="ja-JP"/>
    </w:rPr>
  </w:style>
  <w:style w:type="character" w:styleId="ad">
    <w:name w:val="page number"/>
    <w:basedOn w:val="a0"/>
    <w:rsid w:val="00BA0745"/>
  </w:style>
  <w:style w:type="paragraph" w:customStyle="1" w:styleId="Cover1-Reshumot">
    <w:name w:val="Cover 1-Reshumot"/>
    <w:basedOn w:val="a"/>
    <w:rsid w:val="00BA0745"/>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A0745"/>
    <w:rPr>
      <w:sz w:val="36"/>
      <w:szCs w:val="52"/>
    </w:rPr>
  </w:style>
  <w:style w:type="paragraph" w:customStyle="1" w:styleId="Cover3-Haknesset">
    <w:name w:val="Cover 3-Haknesset"/>
    <w:basedOn w:val="Cover1-Reshumot"/>
    <w:rsid w:val="00BA0745"/>
    <w:rPr>
      <w:b/>
      <w:bCs/>
      <w:spacing w:val="60"/>
    </w:rPr>
  </w:style>
  <w:style w:type="paragraph" w:customStyle="1" w:styleId="Cover4-Date">
    <w:name w:val="Cover 4-Date"/>
    <w:basedOn w:val="a"/>
    <w:rsid w:val="00BA0745"/>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Ragil">
    <w:name w:val="Ragil"/>
    <w:basedOn w:val="a"/>
    <w:rsid w:val="00BA0745"/>
    <w:pPr>
      <w:snapToGrid w:val="0"/>
      <w:spacing w:before="0" w:line="360" w:lineRule="auto"/>
      <w:jc w:val="left"/>
    </w:pPr>
    <w:rPr>
      <w:rFonts w:ascii="Arial" w:eastAsia="Arial Unicode MS" w:hAnsi="Arial" w:cs="David"/>
      <w:snapToGrid w:val="0"/>
      <w:spacing w:val="0"/>
      <w:sz w:val="20"/>
      <w:szCs w:val="26"/>
    </w:rPr>
  </w:style>
  <w:style w:type="character" w:styleId="ae">
    <w:name w:val="annotation reference"/>
    <w:basedOn w:val="a0"/>
    <w:uiPriority w:val="99"/>
    <w:semiHidden/>
    <w:unhideWhenUsed/>
    <w:rsid w:val="0085608E"/>
    <w:rPr>
      <w:sz w:val="16"/>
      <w:szCs w:val="16"/>
    </w:rPr>
  </w:style>
  <w:style w:type="paragraph" w:styleId="af">
    <w:name w:val="annotation text"/>
    <w:basedOn w:val="a"/>
    <w:link w:val="af0"/>
    <w:uiPriority w:val="99"/>
    <w:semiHidden/>
    <w:unhideWhenUsed/>
    <w:rsid w:val="0085608E"/>
    <w:pPr>
      <w:spacing w:line="240" w:lineRule="auto"/>
    </w:pPr>
    <w:rPr>
      <w:sz w:val="20"/>
      <w:szCs w:val="20"/>
    </w:rPr>
  </w:style>
  <w:style w:type="character" w:customStyle="1" w:styleId="af0">
    <w:name w:val="טקסט הערה תו"/>
    <w:basedOn w:val="a0"/>
    <w:link w:val="af"/>
    <w:uiPriority w:val="99"/>
    <w:semiHidden/>
    <w:rsid w:val="0085608E"/>
    <w:rPr>
      <w:rFonts w:ascii="Hadasa Roso SL" w:eastAsia="MS Mincho" w:hAnsi="Hadasa Roso SL" w:cs="Hadasa Roso SL"/>
      <w:color w:val="000000"/>
      <w:spacing w:val="1"/>
      <w:sz w:val="20"/>
      <w:szCs w:val="20"/>
      <w:lang w:eastAsia="ja-JP"/>
    </w:rPr>
  </w:style>
  <w:style w:type="paragraph" w:styleId="af1">
    <w:name w:val="annotation subject"/>
    <w:basedOn w:val="af"/>
    <w:next w:val="af"/>
    <w:link w:val="af2"/>
    <w:uiPriority w:val="99"/>
    <w:semiHidden/>
    <w:unhideWhenUsed/>
    <w:rsid w:val="0085608E"/>
    <w:rPr>
      <w:b/>
      <w:bCs/>
    </w:rPr>
  </w:style>
  <w:style w:type="character" w:customStyle="1" w:styleId="af2">
    <w:name w:val="נושא הערה תו"/>
    <w:basedOn w:val="af0"/>
    <w:link w:val="af1"/>
    <w:uiPriority w:val="99"/>
    <w:semiHidden/>
    <w:rsid w:val="0085608E"/>
    <w:rPr>
      <w:rFonts w:ascii="Hadasa Roso SL" w:eastAsia="MS Mincho" w:hAnsi="Hadasa Roso SL" w:cs="Hadasa Roso SL"/>
      <w:b/>
      <w:bCs/>
      <w:color w:val="000000"/>
      <w:spacing w:val="1"/>
      <w:sz w:val="20"/>
      <w:szCs w:val="20"/>
      <w:lang w:eastAsia="ja-JP"/>
    </w:rPr>
  </w:style>
  <w:style w:type="paragraph" w:styleId="af3">
    <w:name w:val="Balloon Text"/>
    <w:basedOn w:val="a"/>
    <w:link w:val="af4"/>
    <w:uiPriority w:val="99"/>
    <w:semiHidden/>
    <w:unhideWhenUsed/>
    <w:rsid w:val="0085608E"/>
    <w:pPr>
      <w:spacing w:before="0" w:line="240" w:lineRule="auto"/>
    </w:pPr>
    <w:rPr>
      <w:rFonts w:ascii="Tahoma" w:hAnsi="Tahoma" w:cs="Tahoma"/>
      <w:sz w:val="16"/>
      <w:szCs w:val="16"/>
    </w:rPr>
  </w:style>
  <w:style w:type="character" w:customStyle="1" w:styleId="af4">
    <w:name w:val="טקסט בלונים תו"/>
    <w:basedOn w:val="a0"/>
    <w:link w:val="af3"/>
    <w:uiPriority w:val="99"/>
    <w:semiHidden/>
    <w:rsid w:val="0085608E"/>
    <w:rPr>
      <w:rFonts w:ascii="Tahoma" w:eastAsia="MS Mincho" w:hAnsi="Tahoma" w:cs="Tahoma"/>
      <w:color w:val="000000"/>
      <w:spacing w:val="1"/>
      <w:sz w:val="16"/>
      <w:szCs w:val="16"/>
      <w:lang w:eastAsia="ja-JP"/>
    </w:rPr>
  </w:style>
  <w:style w:type="character" w:customStyle="1" w:styleId="20">
    <w:name w:val="כותרת 2 תו"/>
    <w:basedOn w:val="a0"/>
    <w:link w:val="2"/>
    <w:uiPriority w:val="9"/>
    <w:rsid w:val="00095D53"/>
    <w:rPr>
      <w:rFonts w:asciiTheme="majorHAnsi" w:eastAsiaTheme="majorEastAsia" w:hAnsiTheme="majorHAnsi" w:cstheme="majorBidi"/>
      <w:b/>
      <w:bCs/>
      <w:color w:val="4F81BD" w:themeColor="accent1"/>
      <w:spacing w:val="1"/>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161B5BAE19C0A94ABF7F052772C71F14" ma:contentTypeVersion="1" ma:contentTypeDescription="צור מסמך חדש." ma:contentTypeScope="" ma:versionID="4c4e7c02a57e54f45d23c2b2cc14d8d5">
  <xsd:schema xmlns:xsd="http://www.w3.org/2001/XMLSchema" xmlns:p="http://schemas.microsoft.com/office/2006/metadata/properties" xmlns:ns2="d2589617-2f74-4077-aee7-f516ed639388" targetNamespace="http://schemas.microsoft.com/office/2006/metadata/properties" ma:root="true" ma:fieldsID="07cad186b484ecc037a0bd5112bdf38e" ns2:_="">
    <xsd:import namespace="d2589617-2f74-4077-aee7-f516ed639388"/>
    <xsd:element name="properties">
      <xsd:complexType>
        <xsd:sequence>
          <xsd:element name="documentManagement">
            <xsd:complexType>
              <xsd:all>
                <xsd:element ref="ns2:RefNumber" minOccurs="0"/>
              </xsd:all>
            </xsd:complexType>
          </xsd:element>
        </xsd:sequence>
      </xsd:complexType>
    </xsd:element>
  </xsd:schema>
  <xsd:schema xmlns:xsd="http://www.w3.org/2001/XMLSchema" xmlns:dms="http://schemas.microsoft.com/office/2006/documentManagement/types" targetNamespace="d2589617-2f74-4077-aee7-f516ed639388" elementFormDefault="qualified">
    <xsd:import namespace="http://schemas.microsoft.com/office/2006/documentManagement/types"/>
    <xsd:element name="RefNumber" ma:index="8" nillable="true" ma:displayName="RefNumber" ma:description="מס' טופס" ma:internalName="Ref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ma:readOnly="true"/>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fNumber xmlns="d2589617-2f74-4077-aee7-f516ed639388">42010</RefNumb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9D058-342A-4B42-9CDF-E763F3E3D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89617-2f74-4077-aee7-f516ed63938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438ED64-B196-4DDD-A69E-4B4C34576C3B}">
  <ds:schemaRefs>
    <ds:schemaRef ds:uri="http://schemas.microsoft.com/sharepoint/v3/contenttype/forms"/>
  </ds:schemaRefs>
</ds:datastoreItem>
</file>

<file path=customXml/itemProps3.xml><?xml version="1.0" encoding="utf-8"?>
<ds:datastoreItem xmlns:ds="http://schemas.openxmlformats.org/officeDocument/2006/customXml" ds:itemID="{BC7CF857-2BCD-4CEE-AA73-CCEC40E83864}">
  <ds:schemaRefs>
    <ds:schemaRef ds:uri="http://schemas.microsoft.com/office/2006/metadata/properties"/>
    <ds:schemaRef ds:uri="d2589617-2f74-4077-aee7-f516ed639388"/>
  </ds:schemaRefs>
</ds:datastoreItem>
</file>

<file path=customXml/itemProps4.xml><?xml version="1.0" encoding="utf-8"?>
<ds:datastoreItem xmlns:ds="http://schemas.openxmlformats.org/officeDocument/2006/customXml" ds:itemID="{11F0492C-3271-4170-8EB8-0F160D7BB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1682</Words>
  <Characters>8411</Characters>
  <Application>Microsoft Office Word</Application>
  <DocSecurity>0</DocSecurity>
  <Lines>70</Lines>
  <Paragraphs>20</Paragraphs>
  <ScaleCrop>false</ScaleCrop>
  <HeadingPairs>
    <vt:vector size="2" baseType="variant">
      <vt:variant>
        <vt:lpstr>שם</vt:lpstr>
      </vt:variant>
      <vt:variant>
        <vt:i4>1</vt:i4>
      </vt:variant>
    </vt:vector>
  </HeadingPairs>
  <TitlesOfParts>
    <vt:vector size="1" baseType="lpstr">
      <vt:lpstr>תזכיר חוק מס ערך מוסף (תיקון מס' 45), התשעד-2014.docx</vt:lpstr>
    </vt:vector>
  </TitlesOfParts>
  <Company>MOJ</Company>
  <LinksUpToDate>false</LinksUpToDate>
  <CharactersWithSpaces>10073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תזכיר חוק מס ערך מוסף (תיקון מס' 45), התשעד-2014.docx</dc:title>
  <dc:creator>גיא גולדמן-Guy Goldman</dc:creator>
  <cp:lastModifiedBy>hamercaz1</cp:lastModifiedBy>
  <cp:revision>2</cp:revision>
  <dcterms:created xsi:type="dcterms:W3CDTF">2014-06-19T05:02:00Z</dcterms:created>
  <dcterms:modified xsi:type="dcterms:W3CDTF">2014-06-19T05:02:00Z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0x010100161B5BAE19C0A94ABF7F052772C71F14</vt:lpwstr>
  </property>
</Properties>
</file>